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广州市南沙区关于</w:t>
      </w:r>
      <w:r>
        <w:rPr>
          <w:rFonts w:hint="eastAsia" w:ascii="方正小标宋简体" w:hAnsi="方正小标宋简体" w:eastAsia="方正小标宋简体" w:cs="方正小标宋简体"/>
          <w:sz w:val="44"/>
          <w:szCs w:val="44"/>
          <w:lang w:val="en-US" w:eastAsia="zh-CN"/>
        </w:rPr>
        <w:t>持续深化行政机关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柔性执法包容审慎监管的</w:t>
      </w:r>
      <w:r>
        <w:rPr>
          <w:rFonts w:hint="eastAsia" w:ascii="方正小标宋简体" w:hAnsi="方正小标宋简体" w:eastAsia="方正小标宋简体" w:cs="方正小标宋简体"/>
          <w:sz w:val="44"/>
          <w:szCs w:val="44"/>
          <w:lang w:val="en-US" w:eastAsia="zh-CN"/>
        </w:rPr>
        <w:t>实施</w:t>
      </w:r>
      <w:r>
        <w:rPr>
          <w:rFonts w:hint="eastAsia" w:ascii="方正小标宋简体" w:hAnsi="方正小标宋简体" w:eastAsia="方正小标宋简体" w:cs="方正小标宋简体"/>
          <w:sz w:val="44"/>
          <w:szCs w:val="44"/>
        </w:rPr>
        <w:t>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为进一步创新柔性执法包容审慎监管方式，使包容审慎监管成为新常态、主旋律，</w:t>
      </w:r>
      <w:r>
        <w:rPr>
          <w:rFonts w:hint="default" w:ascii="Times New Roman" w:hAnsi="Times New Roman" w:eastAsia="仿宋_GB2312" w:cs="Times New Roman"/>
          <w:sz w:val="32"/>
          <w:szCs w:val="32"/>
          <w:lang w:val="en-US" w:eastAsia="zh-CN"/>
        </w:rPr>
        <w:t>全面提升</w:t>
      </w:r>
      <w:r>
        <w:rPr>
          <w:rFonts w:hint="eastAsia" w:ascii="Times New Roman" w:hAnsi="Times New Roman" w:eastAsia="仿宋_GB2312" w:cs="Times New Roman"/>
          <w:sz w:val="32"/>
          <w:szCs w:val="32"/>
          <w:lang w:val="en-US" w:eastAsia="zh-CN"/>
        </w:rPr>
        <w:t>全区行政机关</w:t>
      </w:r>
      <w:r>
        <w:rPr>
          <w:rFonts w:hint="default" w:ascii="Times New Roman" w:hAnsi="Times New Roman" w:eastAsia="仿宋_GB2312" w:cs="Times New Roman"/>
          <w:sz w:val="32"/>
          <w:szCs w:val="32"/>
          <w:lang w:val="en-US" w:eastAsia="zh-CN"/>
        </w:rPr>
        <w:t>行政执法质量和效能，</w:t>
      </w:r>
      <w:r>
        <w:rPr>
          <w:rFonts w:hint="eastAsia" w:ascii="仿宋_GB2312" w:hAnsi="仿宋_GB2312" w:eastAsia="仿宋_GB2312" w:cs="仿宋_GB2312"/>
          <w:sz w:val="32"/>
          <w:szCs w:val="32"/>
          <w:lang w:val="en-US" w:eastAsia="zh-CN"/>
        </w:rPr>
        <w:t>持续优化南沙区法治化营商环境，根据</w:t>
      </w:r>
      <w:r>
        <w:rPr>
          <w:rFonts w:hint="eastAsia" w:ascii="仿宋_GB2312" w:hAnsi="仿宋_GB2312" w:eastAsia="仿宋_GB2312" w:cs="仿宋_GB2312"/>
          <w:sz w:val="32"/>
          <w:szCs w:val="32"/>
        </w:rPr>
        <w:t>《国务院关于进一步规范和监督罚款设定与实施的指导意见》（国发〔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提升行政执法质量三年行动计划（</w:t>
      </w:r>
      <w:r>
        <w:rPr>
          <w:rFonts w:hint="eastAsia" w:ascii="Times New Roman" w:hAnsi="Times New Roman" w:eastAsia="仿宋_GB2312" w:cs="仿宋_GB2312"/>
          <w:sz w:val="32"/>
          <w:szCs w:val="32"/>
        </w:rPr>
        <w:t>2023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的通知》（国办发〔</w:t>
      </w:r>
      <w:r>
        <w:rPr>
          <w:rFonts w:hint="eastAsia" w:ascii="Times New Roman" w:hAnsi="Times New Roman" w:eastAsia="仿宋_GB2312" w:cs="仿宋_GB2312"/>
          <w:sz w:val="32"/>
          <w:szCs w:val="32"/>
        </w:rPr>
        <w:t>2023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以及《广东省人民政府办公厅关于推进包容审慎监管的指导意见》（粤府办〔</w:t>
      </w:r>
      <w:r>
        <w:rPr>
          <w:rFonts w:hint="eastAsia" w:ascii="Times New Roman" w:hAnsi="Times New Roman"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号）的规定，结合我区实际，制定本实施意见。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学习贯彻习近平法治思想，全面贯彻党的二十大精神，以提升行政执法质量和效能为目标，以推进柔性执法包容审慎监管为抓手，着力创新行政执法方式，推动行政执法从“以罚代管”全面向“引导市场主体</w:t>
      </w:r>
      <w:r>
        <w:rPr>
          <w:rFonts w:hint="eastAsia" w:ascii="仿宋_GB2312" w:hAnsi="仿宋_GB2312" w:eastAsia="仿宋_GB2312" w:cs="仿宋_GB2312"/>
          <w:sz w:val="32"/>
          <w:szCs w:val="32"/>
        </w:rPr>
        <w:t>自主纠错”转变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持续提升人民群众对行政执法的满意度，打造稳定公平透明、规范有序、可预期的营商环境，推进法治政府建设。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（一）依法全面规范履行法定职责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严格</w:t>
      </w:r>
      <w:r>
        <w:rPr>
          <w:rFonts w:hint="eastAsia" w:ascii="仿宋_GB2312" w:hAnsi="仿宋_GB2312" w:eastAsia="仿宋_GB2312" w:cs="仿宋_GB2312"/>
          <w:b/>
          <w:bCs/>
          <w:sz w:val="32"/>
          <w:szCs w:val="32"/>
          <w:highlight w:val="none"/>
        </w:rPr>
        <w:t>规范</w:t>
      </w:r>
      <w:r>
        <w:rPr>
          <w:rFonts w:hint="eastAsia" w:ascii="仿宋_GB2312" w:hAnsi="仿宋_GB2312" w:eastAsia="仿宋_GB2312" w:cs="仿宋_GB2312"/>
          <w:b/>
          <w:bCs/>
          <w:sz w:val="32"/>
          <w:szCs w:val="32"/>
          <w:highlight w:val="none"/>
          <w:lang w:val="en-US" w:eastAsia="zh-CN"/>
        </w:rPr>
        <w:t>行政执法</w:t>
      </w:r>
      <w:r>
        <w:rPr>
          <w:rFonts w:hint="eastAsia" w:ascii="仿宋_GB2312" w:hAnsi="仿宋_GB2312" w:eastAsia="仿宋_GB2312" w:cs="仿宋_GB2312"/>
          <w:b/>
          <w:bCs/>
          <w:sz w:val="32"/>
          <w:szCs w:val="32"/>
          <w:highlight w:val="none"/>
        </w:rPr>
        <w:t>行为</w:t>
      </w:r>
      <w:r>
        <w:rPr>
          <w:rFonts w:hint="eastAsia" w:ascii="仿宋_GB2312" w:hAnsi="仿宋_GB2312" w:eastAsia="仿宋_GB2312" w:cs="仿宋_GB2312"/>
          <w:b/>
          <w:bCs/>
          <w:sz w:val="32"/>
          <w:szCs w:val="32"/>
          <w:highlight w:val="none"/>
          <w:lang w:val="en-US" w:eastAsia="zh-CN"/>
        </w:rPr>
        <w:t>。</w:t>
      </w:r>
      <w:r>
        <w:rPr>
          <w:rFonts w:hint="eastAsia" w:ascii="仿宋_GB2312" w:hAnsi="宋体" w:eastAsia="仿宋_GB2312" w:cs="宋体"/>
          <w:sz w:val="32"/>
          <w:szCs w:val="32"/>
          <w:lang w:val="en-US" w:eastAsia="zh-CN"/>
        </w:rPr>
        <w:t>严格规范行政检查、行政处罚、行政强制行为，防止随意检查、执法扰民扰企。</w:t>
      </w:r>
      <w:r>
        <w:rPr>
          <w:rFonts w:hint="eastAsia" w:ascii="仿宋_GB2312" w:hAnsi="宋体" w:eastAsia="仿宋_GB2312" w:cs="宋体"/>
          <w:b w:val="0"/>
          <w:bCs w:val="0"/>
          <w:snapToGrid/>
          <w:spacing w:val="0"/>
          <w:w w:val="100"/>
          <w:kern w:val="2"/>
          <w:position w:val="0"/>
          <w:sz w:val="32"/>
          <w:szCs w:val="32"/>
          <w:lang w:val="en-US" w:eastAsia="zh-CN"/>
        </w:rPr>
        <w:t>开展清理整顿、专项整治等活动，应当严格依法进行，</w:t>
      </w:r>
      <w:r>
        <w:rPr>
          <w:rFonts w:hint="eastAsia" w:ascii="仿宋_GB2312" w:hAnsi="宋体" w:eastAsia="仿宋_GB2312" w:cs="宋体"/>
          <w:sz w:val="32"/>
          <w:szCs w:val="32"/>
          <w:lang w:val="en-US" w:eastAsia="zh-CN"/>
        </w:rPr>
        <w:t>除涉及人民群众生命安全、发生重特大事故等极特殊情形，并严格按规定报经有权机关批准外，不得在相关区域采取要求相关行业、领域的市场主体普遍停产、停业的措施。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全面落实行政执法“三项制度”。</w:t>
      </w:r>
      <w:r>
        <w:rPr>
          <w:rFonts w:hint="eastAsia" w:ascii="仿宋_GB2312" w:hAnsi="仿宋_GB2312" w:eastAsia="仿宋_GB2312" w:cs="仿宋_GB2312"/>
          <w:sz w:val="32"/>
          <w:szCs w:val="32"/>
          <w:lang w:val="en-US" w:eastAsia="zh-CN"/>
        </w:rPr>
        <w:t>按照“谁执法谁公示”的要求，严格落实行政执法公示制度，及时、主动公开行政执法信息，依法保障行政相对人陈述、申辩、提出听证申请等权利。规范行政执法全过程记录行为，提高文字记录的正确性，增强音像记录的应用覆盖，做到执法全过程留痕和可回溯管理。全面落实重大行政执法决定法制审核制度，进一步发挥法律顾问、公职律师的作用，确保行政执法决定合法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严格履行监管职责。</w:t>
      </w:r>
      <w:r>
        <w:rPr>
          <w:rFonts w:hint="eastAsia" w:ascii="仿宋_GB2312" w:hAnsi="仿宋_GB2312" w:eastAsia="仿宋_GB2312" w:cs="仿宋_GB2312"/>
          <w:sz w:val="32"/>
          <w:szCs w:val="32"/>
          <w:lang w:val="en-US" w:eastAsia="zh-CN"/>
        </w:rPr>
        <w:t>对直接涉及公共安全和人民群众生命安全健康等特殊行业、重点领域，依法依规实行全覆盖的重点监管。</w:t>
      </w:r>
      <w:r>
        <w:rPr>
          <w:rFonts w:hint="eastAsia" w:ascii="仿宋_GB2312" w:hAnsi="仿宋_GB2312" w:eastAsia="仿宋_GB2312" w:cs="仿宋_GB2312"/>
          <w:sz w:val="32"/>
          <w:szCs w:val="32"/>
        </w:rPr>
        <w:t>严禁执法平时不作为、慢作为，面临督察问责时“一刀切”、运动式、逐利式执法。对违法行为依法作出责令整改决定的，应当及时复查整改情况，防止</w:t>
      </w:r>
      <w:r>
        <w:rPr>
          <w:rFonts w:hint="eastAsia" w:ascii="仿宋_GB2312" w:hAnsi="仿宋_GB2312" w:eastAsia="仿宋_GB2312" w:cs="仿宋_GB2312"/>
          <w:sz w:val="32"/>
          <w:szCs w:val="32"/>
          <w:lang w:val="en-US" w:eastAsia="zh-CN"/>
        </w:rPr>
        <w:t>以罚代管、只罚不管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对于风险较大、纠错成本较高、损害难以挽回，可能严重危害公共安全、人身健康和生命财产安全，或者严重破坏市场经济秩序、严重损害消费者权益等违法行为，不适用包容审慎监管。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US" w:eastAsia="zh-CN"/>
        </w:rPr>
        <w:t>健全完善包容审慎监管方式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落实行政执法减免责清单制度。</w:t>
      </w:r>
      <w:r>
        <w:rPr>
          <w:rFonts w:hint="eastAsia" w:ascii="仿宋_GB2312" w:hAnsi="仿宋_GB2312" w:eastAsia="仿宋_GB2312" w:cs="仿宋_GB2312"/>
          <w:b w:val="0"/>
          <w:bCs w:val="0"/>
          <w:sz w:val="32"/>
          <w:szCs w:val="32"/>
        </w:rPr>
        <w:t>依法落实行政处罚“首违不罚”和轻微违法行为免处罚免强制制度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i w:val="0"/>
          <w:iCs w:val="0"/>
          <w:kern w:val="2"/>
          <w:sz w:val="32"/>
          <w:szCs w:val="32"/>
          <w:u w:val="none"/>
          <w:lang w:val="en-US" w:eastAsia="zh-CN" w:bidi="ar-SA"/>
        </w:rPr>
        <w:t>行政执法单位应严格贯彻落实上级</w:t>
      </w:r>
      <w:r>
        <w:rPr>
          <w:rFonts w:hint="eastAsia" w:ascii="仿宋_GB2312" w:hAnsi="仿宋_GB2312" w:eastAsia="仿宋_GB2312" w:cs="仿宋_GB2312"/>
          <w:sz w:val="32"/>
          <w:szCs w:val="32"/>
          <w:lang w:val="en-US" w:eastAsia="zh-CN"/>
        </w:rPr>
        <w:t>业务主管部门</w:t>
      </w:r>
      <w:r>
        <w:rPr>
          <w:rFonts w:hint="eastAsia" w:ascii="仿宋_GB2312" w:hAnsi="仿宋_GB2312" w:eastAsia="仿宋_GB2312" w:cs="仿宋_GB2312"/>
          <w:i w:val="0"/>
          <w:iCs w:val="0"/>
          <w:kern w:val="2"/>
          <w:sz w:val="32"/>
          <w:szCs w:val="32"/>
          <w:u w:val="none"/>
          <w:lang w:val="en-US" w:eastAsia="zh-CN" w:bidi="ar-SA"/>
        </w:rPr>
        <w:t>制定的行政执法减免责清单的要求，</w:t>
      </w:r>
      <w:r>
        <w:rPr>
          <w:rFonts w:hint="eastAsia" w:ascii="仿宋_GB2312" w:hAnsi="仿宋_GB2312" w:eastAsia="仿宋_GB2312" w:cs="仿宋_GB2312"/>
          <w:sz w:val="32"/>
          <w:szCs w:val="32"/>
          <w:lang w:val="en-US" w:eastAsia="zh-CN"/>
        </w:rPr>
        <w:t>及时将自身适用的行政执法减免责清单文件通过广东省行政执法信息公示平台统一对外公示，在行政执法决定书中对行政执法减免责清单的使用情况予以明确。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推行涉企“综合查一次”清单制度</w:t>
      </w:r>
      <w:r>
        <w:rPr>
          <w:rFonts w:hint="eastAsia" w:ascii="仿宋_GB2312" w:hAnsi="仿宋_GB2312" w:eastAsia="仿宋_GB2312" w:cs="仿宋_GB2312"/>
          <w:b/>
          <w:bCs/>
          <w:kern w:val="2"/>
          <w:sz w:val="32"/>
          <w:szCs w:val="32"/>
          <w:lang w:val="en-US" w:eastAsia="zh-CN" w:bidi="ar"/>
        </w:rPr>
        <w:t>。</w:t>
      </w:r>
      <w:r>
        <w:rPr>
          <w:rFonts w:hint="eastAsia" w:ascii="仿宋_GB2312" w:hAnsi="宋体" w:eastAsia="仿宋_GB2312" w:cs="仿宋_GB2312"/>
          <w:b w:val="0"/>
          <w:bCs w:val="0"/>
          <w:color w:val="000000"/>
          <w:kern w:val="0"/>
          <w:sz w:val="32"/>
          <w:szCs w:val="32"/>
          <w:shd w:val="clear" w:color="auto" w:fill="auto"/>
          <w:lang w:val="en-US" w:eastAsia="zh-CN" w:bidi="ar"/>
        </w:rPr>
        <w:t>区</w:t>
      </w:r>
      <w:r>
        <w:rPr>
          <w:rFonts w:hint="eastAsia" w:ascii="仿宋_GB2312" w:hAnsi="宋体" w:eastAsia="仿宋_GB2312" w:cs="仿宋_GB2312"/>
          <w:i w:val="0"/>
          <w:iCs w:val="0"/>
          <w:caps w:val="0"/>
          <w:color w:val="000000"/>
          <w:spacing w:val="0"/>
          <w:kern w:val="0"/>
          <w:sz w:val="32"/>
          <w:szCs w:val="32"/>
          <w:shd w:val="clear" w:color="auto" w:fill="auto"/>
          <w:lang w:bidi="ar"/>
        </w:rPr>
        <w:t>市场监管部门</w:t>
      </w:r>
      <w:r>
        <w:rPr>
          <w:rFonts w:hint="eastAsia" w:ascii="仿宋_GB2312" w:hAnsi="宋体" w:eastAsia="仿宋_GB2312" w:cs="仿宋_GB2312"/>
          <w:i w:val="0"/>
          <w:iCs w:val="0"/>
          <w:caps w:val="0"/>
          <w:color w:val="000000"/>
          <w:spacing w:val="0"/>
          <w:kern w:val="0"/>
          <w:sz w:val="32"/>
          <w:szCs w:val="32"/>
          <w:shd w:val="clear" w:color="auto" w:fill="auto"/>
          <w:lang w:val="en-US" w:eastAsia="zh-CN" w:bidi="ar"/>
        </w:rPr>
        <w:t>应当牵头，或会同区综合行政执法部门牵头，统筹组织</w:t>
      </w:r>
      <w:r>
        <w:rPr>
          <w:rFonts w:hint="eastAsia" w:ascii="仿宋_GB2312" w:hAnsi="宋体" w:eastAsia="仿宋_GB2312" w:cs="仿宋_GB2312"/>
          <w:i w:val="0"/>
          <w:iCs w:val="0"/>
          <w:caps w:val="0"/>
          <w:color w:val="000000"/>
          <w:spacing w:val="0"/>
          <w:kern w:val="0"/>
          <w:sz w:val="32"/>
          <w:szCs w:val="32"/>
          <w:shd w:val="clear" w:color="auto" w:fill="auto"/>
          <w:lang w:bidi="ar"/>
        </w:rPr>
        <w:t>生态环境、应急管理</w:t>
      </w:r>
      <w:r>
        <w:rPr>
          <w:rFonts w:hint="eastAsia" w:ascii="仿宋_GB2312" w:hAnsi="宋体" w:eastAsia="仿宋_GB2312" w:cs="仿宋_GB2312"/>
          <w:i w:val="0"/>
          <w:iCs w:val="0"/>
          <w:caps w:val="0"/>
          <w:color w:val="000000"/>
          <w:spacing w:val="0"/>
          <w:kern w:val="0"/>
          <w:sz w:val="32"/>
          <w:szCs w:val="32"/>
          <w:shd w:val="clear" w:color="auto" w:fill="auto"/>
          <w:lang w:eastAsia="zh-CN" w:bidi="ar"/>
        </w:rPr>
        <w:t>、</w:t>
      </w:r>
      <w:r>
        <w:rPr>
          <w:rFonts w:hint="eastAsia" w:ascii="仿宋_GB2312" w:hAnsi="宋体" w:eastAsia="仿宋_GB2312" w:cs="仿宋_GB2312"/>
          <w:i w:val="0"/>
          <w:iCs w:val="0"/>
          <w:caps w:val="0"/>
          <w:color w:val="000000"/>
          <w:spacing w:val="0"/>
          <w:kern w:val="0"/>
          <w:sz w:val="32"/>
          <w:szCs w:val="32"/>
          <w:shd w:val="clear" w:color="auto" w:fill="auto"/>
          <w:lang w:val="en-US" w:eastAsia="zh-CN" w:bidi="ar"/>
        </w:rPr>
        <w:t>公安</w:t>
      </w:r>
      <w:r>
        <w:rPr>
          <w:rFonts w:hint="eastAsia" w:ascii="仿宋_GB2312" w:hAnsi="宋体" w:eastAsia="仿宋_GB2312" w:cs="仿宋_GB2312"/>
          <w:i w:val="0"/>
          <w:iCs w:val="0"/>
          <w:caps w:val="0"/>
          <w:color w:val="000000"/>
          <w:spacing w:val="0"/>
          <w:kern w:val="0"/>
          <w:sz w:val="32"/>
          <w:szCs w:val="32"/>
          <w:shd w:val="clear" w:color="auto" w:fill="auto"/>
          <w:lang w:bidi="ar"/>
        </w:rPr>
        <w:t>等涉企检查任务较重的部门</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选</w:t>
      </w:r>
      <w:r>
        <w:rPr>
          <w:rFonts w:hint="eastAsia" w:ascii="仿宋_GB2312" w:hAnsi="宋体" w:eastAsia="仿宋_GB2312" w:cs="仿宋_GB2312"/>
          <w:color w:val="000000"/>
          <w:kern w:val="0"/>
          <w:sz w:val="32"/>
          <w:szCs w:val="32"/>
          <w:lang w:val="en-US" w:eastAsia="zh-CN" w:bidi="ar"/>
        </w:rPr>
        <w:t>取信用等级较高的企业、涉及多部门行政检查的企业或者新产业新业态中的重点企业，开展涉企“综合查一次”工作</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sz w:val="32"/>
          <w:szCs w:val="32"/>
          <w:lang w:val="en-US" w:eastAsia="zh-CN"/>
        </w:rPr>
        <w:t>对已接受联合检查的企业，除有投诉举报、上级交办、其他机关</w:t>
      </w:r>
      <w:r>
        <w:rPr>
          <w:rFonts w:hint="eastAsia" w:ascii="仿宋_GB2312" w:hAnsi="仿宋_GB2312" w:eastAsia="仿宋_GB2312" w:cs="仿宋_GB2312"/>
          <w:sz w:val="32"/>
          <w:szCs w:val="32"/>
          <w:lang w:val="en-US" w:eastAsia="zh-CN"/>
        </w:rPr>
        <w:t>依法依纪</w:t>
      </w:r>
      <w:r>
        <w:rPr>
          <w:rFonts w:hint="default" w:ascii="仿宋_GB2312" w:hAnsi="仿宋_GB2312" w:eastAsia="仿宋_GB2312" w:cs="仿宋_GB2312"/>
          <w:sz w:val="32"/>
          <w:szCs w:val="32"/>
          <w:lang w:val="en-US" w:eastAsia="zh-CN"/>
        </w:rPr>
        <w:t>移送等案件线索或者重点领域治理部署等情形外，相关部门</w:t>
      </w:r>
      <w:r>
        <w:rPr>
          <w:rFonts w:hint="eastAsia" w:ascii="仿宋_GB2312" w:hAnsi="仿宋_GB2312" w:eastAsia="仿宋_GB2312" w:cs="仿宋_GB2312"/>
          <w:sz w:val="32"/>
          <w:szCs w:val="32"/>
          <w:lang w:val="en-US" w:eastAsia="zh-CN"/>
        </w:rPr>
        <w:t>、镇街</w:t>
      </w:r>
      <w:r>
        <w:rPr>
          <w:rFonts w:hint="default" w:ascii="仿宋_GB2312" w:hAnsi="仿宋_GB2312" w:eastAsia="仿宋_GB2312" w:cs="仿宋_GB2312"/>
          <w:sz w:val="32"/>
          <w:szCs w:val="32"/>
          <w:lang w:val="en-US" w:eastAsia="zh-CN"/>
        </w:rPr>
        <w:t>在本年度内原则上不再单独进行同类检查。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全面实施“双随机、一公开”监管。</w:t>
      </w:r>
      <w:r>
        <w:rPr>
          <w:rFonts w:hint="eastAsia" w:ascii="仿宋_GB2312" w:hAnsi="仿宋_GB2312" w:eastAsia="仿宋_GB2312" w:cs="仿宋_GB2312"/>
          <w:sz w:val="32"/>
          <w:szCs w:val="32"/>
          <w:lang w:val="en-US" w:eastAsia="zh-CN"/>
        </w:rPr>
        <w:t>完善以“双随机、一公开”监管为重点的日常监管制度，除查处投诉举报、开展大数据监测、办理转办交办事项或上级部门有特殊要求等情形外，原则上所有涉企行政检查都应通过“双随机、一公开”的方式进行，减少对市场主体正常经营活动的干扰。建立健全跨部门随机抽查事项清单，将更多事项纳入跨部门联合抽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7.</w:t>
      </w:r>
      <w:r>
        <w:rPr>
          <w:rFonts w:hint="eastAsia" w:ascii="仿宋_GB2312" w:hAnsi="仿宋_GB2312" w:eastAsia="仿宋_GB2312" w:cs="仿宋_GB2312"/>
          <w:b/>
          <w:bCs/>
          <w:snapToGrid/>
          <w:kern w:val="2"/>
          <w:sz w:val="32"/>
          <w:szCs w:val="32"/>
          <w:u w:val="none"/>
        </w:rPr>
        <w:t>建立健全事前事中事后全流程“白名单”管理措施。</w:t>
      </w:r>
      <w:r>
        <w:rPr>
          <w:rFonts w:hint="eastAsia" w:ascii="仿宋_GB2312" w:hAnsi="仿宋_GB2312" w:eastAsia="仿宋_GB2312" w:cs="仿宋_GB2312"/>
          <w:snapToGrid/>
          <w:kern w:val="2"/>
          <w:sz w:val="32"/>
          <w:szCs w:val="32"/>
          <w:u w:val="none"/>
        </w:rPr>
        <w:t>建立重点行业、重点企业服务管理</w:t>
      </w:r>
      <w:r>
        <w:rPr>
          <w:rFonts w:hint="eastAsia" w:ascii="仿宋_GB2312" w:hAnsi="仿宋_GB2312" w:eastAsia="仿宋_GB2312" w:cs="仿宋_GB2312"/>
          <w:snapToGrid/>
          <w:kern w:val="2"/>
          <w:sz w:val="32"/>
          <w:szCs w:val="32"/>
          <w:u w:val="none"/>
          <w:lang w:eastAsia="zh-CN"/>
        </w:rPr>
        <w:t>“</w:t>
      </w:r>
      <w:r>
        <w:rPr>
          <w:rFonts w:hint="eastAsia" w:ascii="仿宋_GB2312" w:hAnsi="仿宋_GB2312" w:eastAsia="仿宋_GB2312" w:cs="仿宋_GB2312"/>
          <w:snapToGrid/>
          <w:kern w:val="2"/>
          <w:sz w:val="32"/>
          <w:szCs w:val="32"/>
          <w:u w:val="none"/>
        </w:rPr>
        <w:t>白名单</w:t>
      </w:r>
      <w:r>
        <w:rPr>
          <w:rFonts w:hint="eastAsia" w:ascii="仿宋_GB2312" w:hAnsi="仿宋_GB2312" w:eastAsia="仿宋_GB2312" w:cs="仿宋_GB2312"/>
          <w:snapToGrid/>
          <w:kern w:val="2"/>
          <w:sz w:val="32"/>
          <w:szCs w:val="32"/>
          <w:u w:val="none"/>
          <w:lang w:eastAsia="zh-CN"/>
        </w:rPr>
        <w:t>”</w:t>
      </w:r>
      <w:r>
        <w:rPr>
          <w:rFonts w:hint="eastAsia" w:ascii="仿宋_GB2312" w:hAnsi="仿宋_GB2312" w:eastAsia="仿宋_GB2312" w:cs="仿宋_GB2312"/>
          <w:snapToGrid/>
          <w:kern w:val="2"/>
          <w:sz w:val="32"/>
          <w:szCs w:val="32"/>
          <w:u w:val="none"/>
          <w:lang w:val="en-US" w:eastAsia="zh-CN"/>
        </w:rPr>
        <w:t>并动态优化调整，</w:t>
      </w:r>
      <w:r>
        <w:rPr>
          <w:rFonts w:hint="eastAsia" w:ascii="仿宋_GB2312" w:hAnsi="仿宋_GB2312" w:eastAsia="仿宋_GB2312" w:cs="仿宋_GB2312"/>
          <w:sz w:val="32"/>
          <w:szCs w:val="32"/>
        </w:rPr>
        <w:t>不断拓展涵盖行业领域范围，对名单内企业实行“一年最多查一次”“进一次门、查多项事”</w:t>
      </w:r>
      <w:r>
        <w:rPr>
          <w:rFonts w:hint="eastAsia" w:ascii="仿宋_GB2312" w:hAnsi="仿宋_GB2312" w:eastAsia="仿宋_GB2312" w:cs="仿宋_GB2312"/>
          <w:snapToGrid/>
          <w:kern w:val="2"/>
          <w:sz w:val="32"/>
          <w:szCs w:val="32"/>
          <w:u w:val="none"/>
        </w:rPr>
        <w:t>“触发式监管”</w:t>
      </w:r>
      <w:r>
        <w:rPr>
          <w:rFonts w:hint="eastAsia" w:ascii="仿宋_GB2312" w:hAnsi="仿宋_GB2312" w:eastAsia="仿宋_GB2312" w:cs="仿宋_GB2312"/>
          <w:sz w:val="32"/>
          <w:szCs w:val="32"/>
        </w:rPr>
        <w:t>等包容监管措施，</w:t>
      </w:r>
      <w:r>
        <w:rPr>
          <w:rFonts w:hint="eastAsia" w:ascii="仿宋_GB2312" w:hAnsi="仿宋_GB2312" w:eastAsia="仿宋_GB2312" w:cs="仿宋_GB2312"/>
          <w:sz w:val="32"/>
          <w:szCs w:val="32"/>
          <w:lang w:val="en-US" w:eastAsia="zh-CN"/>
        </w:rPr>
        <w:t>确保</w:t>
      </w:r>
      <w:r>
        <w:rPr>
          <w:rFonts w:hint="eastAsia" w:ascii="Times New Roman" w:hAnsi="Times New Roman" w:eastAsia="仿宋_GB2312" w:cs="仿宋_GB2312"/>
          <w:sz w:val="32"/>
          <w:szCs w:val="32"/>
          <w:highlight w:val="none"/>
        </w:rPr>
        <w:t>监管与服务、保安全与促发展有机结合</w:t>
      </w:r>
      <w:r>
        <w:rPr>
          <w:rFonts w:hint="eastAsia" w:ascii="Times New Roman" w:hAnsi="Times New Roman" w:eastAsia="仿宋_GB2312" w:cs="仿宋_GB2312"/>
          <w:sz w:val="32"/>
          <w:szCs w:val="32"/>
          <w:highlight w:val="none"/>
          <w:lang w:eastAsia="zh-CN"/>
        </w:rPr>
        <w:t>，</w:t>
      </w:r>
      <w:r>
        <w:rPr>
          <w:rFonts w:hint="eastAsia" w:ascii="仿宋_GB2312" w:hAnsi="仿宋_GB2312" w:eastAsia="仿宋_GB2312" w:cs="仿宋_GB2312"/>
          <w:sz w:val="32"/>
          <w:szCs w:val="32"/>
        </w:rPr>
        <w:t>营造更宽松有序的市场监管环境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8.</w:t>
      </w:r>
      <w:r>
        <w:rPr>
          <w:rFonts w:hint="eastAsia" w:ascii="仿宋_GB2312" w:hAnsi="仿宋_GB2312" w:eastAsia="仿宋_GB2312" w:cs="仿宋_GB2312"/>
          <w:b/>
          <w:bCs/>
          <w:sz w:val="32"/>
          <w:szCs w:val="32"/>
          <w:lang w:val="en-US" w:eastAsia="zh-CN"/>
        </w:rPr>
        <w:t>推行信用监管。</w:t>
      </w:r>
      <w:r>
        <w:rPr>
          <w:rFonts w:hint="default" w:ascii="仿宋_GB2312" w:hAnsi="仿宋_GB2312" w:eastAsia="仿宋_GB2312" w:cs="仿宋_GB2312"/>
          <w:sz w:val="32"/>
          <w:szCs w:val="32"/>
          <w:lang w:val="en-US" w:eastAsia="zh-CN"/>
        </w:rPr>
        <w:t>建立以信用监管为基础的新型监管机制，依据</w:t>
      </w:r>
      <w:r>
        <w:rPr>
          <w:rFonts w:hint="eastAsia" w:ascii="仿宋_GB2312" w:hAnsi="仿宋_GB2312" w:eastAsia="仿宋_GB2312" w:cs="仿宋_GB2312"/>
          <w:sz w:val="32"/>
          <w:szCs w:val="32"/>
          <w:lang w:val="en-US" w:eastAsia="zh-CN"/>
        </w:rPr>
        <w:t>市场</w:t>
      </w:r>
      <w:r>
        <w:rPr>
          <w:rFonts w:hint="default" w:ascii="仿宋_GB2312" w:hAnsi="仿宋_GB2312" w:eastAsia="仿宋_GB2312" w:cs="仿宋_GB2312"/>
          <w:sz w:val="32"/>
          <w:szCs w:val="32"/>
          <w:lang w:val="en-US" w:eastAsia="zh-CN"/>
        </w:rPr>
        <w:t>主体</w:t>
      </w:r>
      <w:r>
        <w:rPr>
          <w:rFonts w:hint="eastAsia" w:ascii="仿宋_GB2312" w:hAnsi="宋体" w:eastAsia="仿宋_GB2312" w:cs="宋体"/>
          <w:sz w:val="32"/>
          <w:szCs w:val="32"/>
          <w:lang w:val="en-US" w:eastAsia="zh-CN"/>
        </w:rPr>
        <w:t>不同领域特点和风险程度确定监管内容、方式和频次，依据市场主体</w:t>
      </w:r>
      <w:r>
        <w:rPr>
          <w:rFonts w:hint="default" w:ascii="仿宋_GB2312" w:hAnsi="仿宋_GB2312" w:eastAsia="仿宋_GB2312" w:cs="仿宋_GB2312"/>
          <w:sz w:val="32"/>
          <w:szCs w:val="32"/>
          <w:lang w:val="en-US" w:eastAsia="zh-CN"/>
        </w:rPr>
        <w:t>信用评价等级实施分级分类监管，对诚信守法的监管对象，适当降低抽查比例和频次，灵活采取自查自纠等承诺式检查方式；对失信违法的监管对象，适当提高抽查比例和频次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提升监管的精准性和有效性</w:t>
      </w:r>
      <w:r>
        <w:rPr>
          <w:rFonts w:hint="eastAsia" w:ascii="仿宋_GB2312" w:hAnsi="宋体" w:eastAsia="仿宋_GB2312" w:cs="宋体"/>
          <w:sz w:val="32"/>
          <w:szCs w:val="32"/>
          <w:lang w:val="en-US" w:eastAsia="zh-CN"/>
        </w:rPr>
        <w:t>。</w:t>
      </w:r>
      <w:r>
        <w:rPr>
          <w:rFonts w:hint="default" w:ascii="仿宋_GB2312" w:hAnsi="仿宋_GB2312" w:eastAsia="仿宋_GB2312" w:cs="仿宋_GB2312"/>
          <w:sz w:val="32"/>
          <w:szCs w:val="32"/>
          <w:lang w:val="en-US" w:eastAsia="zh-CN"/>
        </w:rPr>
        <w:t>强化跨行业、跨领域、跨部门失信联合惩戒，建立健全信用修复、异议申诉等机制。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9.</w:t>
      </w:r>
      <w:r>
        <w:rPr>
          <w:rFonts w:hint="eastAsia" w:ascii="仿宋_GB2312" w:hAnsi="仿宋_GB2312" w:eastAsia="仿宋_GB2312" w:cs="仿宋_GB2312"/>
          <w:b/>
          <w:bCs/>
          <w:sz w:val="32"/>
          <w:szCs w:val="32"/>
          <w:lang w:val="en-US" w:eastAsia="zh-CN"/>
        </w:rPr>
        <w:t>深化执法“观察期”制度。</w:t>
      </w:r>
      <w:r>
        <w:rPr>
          <w:rFonts w:hint="eastAsia" w:ascii="仿宋_GB2312" w:hAnsi="仿宋_GB2312" w:eastAsia="仿宋_GB2312" w:cs="仿宋_GB2312"/>
          <w:sz w:val="32"/>
          <w:szCs w:val="32"/>
          <w:lang w:val="en-US" w:eastAsia="zh-CN"/>
        </w:rPr>
        <w:t>除法律、法规、规章明确禁止或者涉及危害公共安全和人民群众生命健康等情形外，对符合国家和省市政策导向、有发展前景的新业态新模式企业，可给予合理的执法“观察期”。“观察期”内优先采取教育提醒、劝导示范、警示告诫、行政提示、行政指导、行政约谈等柔性执法方式，谨慎使用行政处罚、行政强制等严厉执法措施，做到执法关口前置、监管重心前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highlight w:val="none"/>
          <w:lang w:val="en-US" w:eastAsia="zh-CN"/>
        </w:rPr>
        <w:t>10</w:t>
      </w:r>
      <w:r>
        <w:rPr>
          <w:rFonts w:hint="eastAsia" w:ascii="Times New Roman" w:hAnsi="Times New Roman"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推行非现场监管方式。</w:t>
      </w:r>
      <w:r>
        <w:rPr>
          <w:rFonts w:hint="default"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以远程监管、移动监管、预警防控为特征的非现场监管方式。</w:t>
      </w:r>
      <w:r>
        <w:rPr>
          <w:rFonts w:hint="default" w:ascii="仿宋_GB2312" w:hAnsi="宋体" w:eastAsia="仿宋_GB2312" w:cs="宋体"/>
          <w:b w:val="0"/>
          <w:bCs w:val="0"/>
          <w:kern w:val="2"/>
          <w:sz w:val="32"/>
          <w:szCs w:val="32"/>
          <w:lang w:val="en-US" w:eastAsia="zh-CN" w:bidi="ar-SA"/>
        </w:rPr>
        <w:t>利用</w:t>
      </w:r>
      <w:r>
        <w:rPr>
          <w:rFonts w:hint="eastAsia" w:ascii="仿宋_GB2312" w:hAnsi="宋体" w:eastAsia="仿宋_GB2312" w:cs="宋体"/>
          <w:b w:val="0"/>
          <w:bCs w:val="0"/>
          <w:kern w:val="2"/>
          <w:sz w:val="32"/>
          <w:szCs w:val="32"/>
          <w:lang w:val="en-US" w:eastAsia="zh-CN" w:bidi="ar-SA"/>
        </w:rPr>
        <w:t>电子技术</w:t>
      </w:r>
      <w:r>
        <w:rPr>
          <w:rFonts w:hint="default" w:ascii="仿宋_GB2312" w:hAnsi="宋体" w:eastAsia="仿宋_GB2312" w:cs="宋体"/>
          <w:b w:val="0"/>
          <w:bCs w:val="0"/>
          <w:kern w:val="2"/>
          <w:sz w:val="32"/>
          <w:szCs w:val="32"/>
          <w:lang w:val="en-US" w:eastAsia="zh-CN" w:bidi="ar-SA"/>
        </w:rPr>
        <w:t>监控设备收集、固定违法事实的，应当</w:t>
      </w:r>
      <w:r>
        <w:rPr>
          <w:rFonts w:hint="eastAsia" w:ascii="仿宋_GB2312" w:hAnsi="宋体" w:eastAsia="仿宋_GB2312" w:cs="宋体"/>
          <w:b w:val="0"/>
          <w:bCs w:val="0"/>
          <w:kern w:val="2"/>
          <w:sz w:val="32"/>
          <w:szCs w:val="32"/>
          <w:lang w:val="en-US" w:eastAsia="zh-CN" w:bidi="ar-SA"/>
        </w:rPr>
        <w:t>符合有关法律、行政法规的规定，并</w:t>
      </w:r>
      <w:r>
        <w:rPr>
          <w:rFonts w:hint="default" w:ascii="仿宋_GB2312" w:hAnsi="宋体" w:eastAsia="仿宋_GB2312" w:cs="宋体"/>
          <w:b w:val="0"/>
          <w:bCs w:val="0"/>
          <w:kern w:val="2"/>
          <w:sz w:val="32"/>
          <w:szCs w:val="32"/>
          <w:lang w:val="en-US" w:eastAsia="zh-CN" w:bidi="ar-SA"/>
        </w:rPr>
        <w:t>经过法制和技术审核，</w:t>
      </w:r>
      <w:r>
        <w:rPr>
          <w:rFonts w:hint="eastAsia" w:ascii="仿宋_GB2312" w:hAnsi="宋体" w:eastAsia="仿宋_GB2312" w:cs="宋体"/>
          <w:b w:val="0"/>
          <w:bCs w:val="0"/>
          <w:kern w:val="2"/>
          <w:sz w:val="32"/>
          <w:szCs w:val="32"/>
          <w:lang w:val="en-US" w:eastAsia="zh-CN" w:bidi="ar-SA"/>
        </w:rPr>
        <w:t>确保电子技术监控设备符合标准、设置合理、标志明显</w:t>
      </w:r>
      <w:r>
        <w:rPr>
          <w:rFonts w:hint="default" w:ascii="仿宋_GB2312" w:hAnsi="宋体" w:eastAsia="仿宋_GB2312" w:cs="宋体"/>
          <w:b w:val="0"/>
          <w:bCs w:val="0"/>
          <w:kern w:val="2"/>
          <w:sz w:val="32"/>
          <w:szCs w:val="32"/>
          <w:lang w:val="en-US" w:eastAsia="zh-CN" w:bidi="ar-SA"/>
        </w:rPr>
        <w:t>，投入使用前要及时向社会公布</w:t>
      </w:r>
      <w:r>
        <w:rPr>
          <w:rFonts w:hint="eastAsia" w:ascii="仿宋_GB2312" w:hAnsi="宋体" w:eastAsia="仿宋_GB2312" w:cs="宋体"/>
          <w:b w:val="0"/>
          <w:bCs w:val="0"/>
          <w:kern w:val="2"/>
          <w:sz w:val="32"/>
          <w:szCs w:val="32"/>
          <w:lang w:val="en-US" w:eastAsia="zh-CN" w:bidi="ar-SA"/>
        </w:rPr>
        <w:t>。</w:t>
      </w:r>
      <w:r>
        <w:rPr>
          <w:rFonts w:hint="eastAsia" w:ascii="仿宋_GB2312" w:hAnsi="宋体" w:eastAsia="仿宋_GB2312" w:cs="宋体"/>
          <w:sz w:val="32"/>
          <w:szCs w:val="32"/>
        </w:rPr>
        <w:t>电子技术监控设备记录违法事实应当</w:t>
      </w:r>
      <w:r>
        <w:rPr>
          <w:rFonts w:hint="eastAsia" w:ascii="仿宋_GB2312" w:hAnsi="宋体" w:eastAsia="仿宋_GB2312" w:cs="宋体"/>
          <w:sz w:val="32"/>
          <w:szCs w:val="32"/>
          <w:lang w:val="en-US" w:eastAsia="zh-CN"/>
        </w:rPr>
        <w:t>经过审核，</w:t>
      </w:r>
      <w:r>
        <w:rPr>
          <w:rFonts w:hint="eastAsia" w:ascii="仿宋_GB2312" w:hAnsi="宋体" w:eastAsia="仿宋_GB2312" w:cs="宋体"/>
          <w:sz w:val="32"/>
          <w:szCs w:val="32"/>
        </w:rPr>
        <w:t>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11.</w:t>
      </w:r>
      <w:r>
        <w:rPr>
          <w:rFonts w:hint="eastAsia" w:ascii="仿宋_GB2312" w:hAnsi="仿宋_GB2312" w:eastAsia="仿宋_GB2312" w:cs="仿宋_GB2312"/>
          <w:b/>
          <w:bCs/>
          <w:sz w:val="32"/>
          <w:szCs w:val="32"/>
          <w:lang w:val="en-US" w:eastAsia="zh-CN"/>
        </w:rPr>
        <w:t>推进企业合规体系建设。</w:t>
      </w:r>
      <w:r>
        <w:rPr>
          <w:rFonts w:hint="eastAsia" w:ascii="仿宋_GB2312" w:hAnsi="仿宋_GB2312" w:eastAsia="仿宋_GB2312" w:cs="仿宋_GB2312"/>
          <w:sz w:val="32"/>
          <w:szCs w:val="32"/>
          <w:lang w:val="en-US" w:eastAsia="zh-CN"/>
        </w:rPr>
        <w:t>区各行政执法部门按照上</w:t>
      </w:r>
      <w:r>
        <w:rPr>
          <w:rFonts w:hint="eastAsia" w:ascii="仿宋_GB2312" w:hAnsi="仿宋_GB2312" w:eastAsia="仿宋_GB2312" w:cs="仿宋_GB2312"/>
          <w:i w:val="0"/>
          <w:iCs w:val="0"/>
          <w:kern w:val="2"/>
          <w:sz w:val="32"/>
          <w:szCs w:val="32"/>
          <w:u w:val="none"/>
          <w:lang w:val="en-US" w:eastAsia="zh-CN" w:bidi="ar-SA"/>
        </w:rPr>
        <w:t>级</w:t>
      </w:r>
      <w:r>
        <w:rPr>
          <w:rFonts w:hint="eastAsia" w:ascii="仿宋_GB2312" w:hAnsi="仿宋_GB2312" w:eastAsia="仿宋_GB2312" w:cs="仿宋_GB2312"/>
          <w:sz w:val="32"/>
          <w:szCs w:val="32"/>
          <w:lang w:val="en-US" w:eastAsia="zh-CN"/>
        </w:rPr>
        <w:t>业务主管部门制定的企业合规免责清单，探索研究建立企业合规免责清单，推动制定行业合规指引，引导企业加强合规管理，综合运用多种方式督促引导受处罚企业加强合规建设、及时整改违法问题。将企业合规整改的具体要求落实到违法行为调查的全过程，对整改符合要求的企业依法免予处罚。主动对接区检察机关，做好涉案企业合规互认工作，推动刑事合规成果在行政执法裁量中的有效运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12.</w:t>
      </w:r>
      <w:r>
        <w:rPr>
          <w:rFonts w:hint="eastAsia" w:ascii="仿宋_GB2312" w:hAnsi="仿宋_GB2312" w:eastAsia="仿宋_GB2312" w:cs="仿宋_GB2312"/>
          <w:b/>
          <w:bCs/>
          <w:sz w:val="32"/>
          <w:szCs w:val="32"/>
          <w:lang w:val="en-US" w:eastAsia="zh-CN"/>
        </w:rPr>
        <w:t>加强行政执法协作。</w:t>
      </w:r>
      <w:r>
        <w:rPr>
          <w:rFonts w:ascii="Times New Roman" w:hAnsi="Times New Roman" w:eastAsia="仿宋_GB2312" w:cs="Times New Roman"/>
          <w:sz w:val="32"/>
          <w:szCs w:val="32"/>
          <w:lang w:eastAsia="zh-CN"/>
        </w:rPr>
        <w:t>进一步</w:t>
      </w:r>
      <w:r>
        <w:rPr>
          <w:rFonts w:ascii="Times New Roman" w:hAnsi="Times New Roman" w:eastAsia="仿宋_GB2312" w:cs="Times New Roman"/>
          <w:sz w:val="32"/>
          <w:szCs w:val="32"/>
        </w:rPr>
        <w:t>健全</w:t>
      </w:r>
      <w:r>
        <w:rPr>
          <w:rFonts w:ascii="Times New Roman" w:hAnsi="Times New Roman" w:eastAsia="仿宋_GB2312" w:cs="Times New Roman"/>
          <w:sz w:val="32"/>
          <w:szCs w:val="32"/>
          <w:lang w:eastAsia="zh-CN"/>
        </w:rPr>
        <w:t>完善行政执法协同</w:t>
      </w:r>
      <w:r>
        <w:rPr>
          <w:rFonts w:ascii="Times New Roman" w:hAnsi="Times New Roman" w:eastAsia="仿宋_GB2312" w:cs="Times New Roman"/>
          <w:sz w:val="32"/>
          <w:szCs w:val="32"/>
        </w:rPr>
        <w:t>机制</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加强综合执法、联合执法、协作执法的统筹协调。</w:t>
      </w:r>
      <w:r>
        <w:rPr>
          <w:rFonts w:hint="default" w:ascii="Times New Roman" w:hAnsi="Times New Roman" w:eastAsia="仿宋_GB2312" w:cs="Times New Roman"/>
          <w:sz w:val="32"/>
          <w:szCs w:val="32"/>
          <w:lang w:val="en-US" w:eastAsia="zh-CN"/>
        </w:rPr>
        <w:t>建立区综合行政执法部门直属执法大队与镇街综合行政执法大队行政执法事项动态调整</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kern w:val="2"/>
          <w:sz w:val="32"/>
          <w:szCs w:val="32"/>
          <w:lang w:val="en-US" w:eastAsia="zh-CN" w:bidi="ar-SA"/>
        </w:rPr>
        <w:t>行政处罚联动工作</w:t>
      </w:r>
      <w:r>
        <w:rPr>
          <w:rFonts w:hint="default" w:ascii="Times New Roman" w:hAnsi="Times New Roman" w:eastAsia="仿宋_GB2312" w:cs="Times New Roman"/>
          <w:sz w:val="32"/>
          <w:szCs w:val="32"/>
          <w:lang w:val="en-US" w:eastAsia="zh-CN"/>
        </w:rPr>
        <w:t>机制。建立镇街综合行政执法</w:t>
      </w:r>
      <w:r>
        <w:rPr>
          <w:rFonts w:hint="eastAsia" w:ascii="Times New Roman" w:hAnsi="Times New Roman" w:eastAsia="仿宋_GB2312" w:cs="Times New Roman"/>
          <w:sz w:val="32"/>
          <w:szCs w:val="32"/>
          <w:lang w:val="en-US" w:eastAsia="zh-CN"/>
        </w:rPr>
        <w:t>与职权下放部门执法案件移送、协调协作、</w:t>
      </w:r>
      <w:r>
        <w:rPr>
          <w:rFonts w:hint="default" w:ascii="Times New Roman" w:hAnsi="Times New Roman" w:eastAsia="仿宋_GB2312" w:cs="Times New Roman"/>
          <w:sz w:val="32"/>
          <w:szCs w:val="32"/>
          <w:lang w:val="en-US" w:eastAsia="zh-CN"/>
        </w:rPr>
        <w:t>重大行政执法决定法制审核协作机制，镇街在办理重大行政执法案件过程中，由于客观原因暂无符合条件的法制审核人员的，由职权下放部门协助进行法制审核。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（三）坚持综合施策，防止“一刀切”执法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13.</w:t>
      </w:r>
      <w:r>
        <w:rPr>
          <w:rFonts w:hint="eastAsia" w:ascii="仿宋_GB2312" w:hAnsi="仿宋_GB2312" w:eastAsia="仿宋_GB2312" w:cs="仿宋_GB2312"/>
          <w:b/>
          <w:bCs/>
          <w:sz w:val="32"/>
          <w:szCs w:val="32"/>
          <w:lang w:val="en-US" w:eastAsia="zh-CN"/>
        </w:rPr>
        <w:t>落实行政裁量权基准制度。</w:t>
      </w:r>
      <w:r>
        <w:rPr>
          <w:rFonts w:hint="eastAsia" w:ascii="仿宋_GB2312" w:hAnsi="仿宋_GB2312" w:eastAsia="仿宋_GB2312" w:cs="仿宋_GB2312"/>
          <w:sz w:val="32"/>
          <w:szCs w:val="32"/>
          <w:lang w:val="en-US" w:eastAsia="zh-CN"/>
        </w:rPr>
        <w:t>区各行政执法部门实施上级业务主管部门制定的行政裁量权基准的同时，可以根据工作需要依法对上级制定的行政裁量权基准适用的标准、条件、种类、幅度、方式、时限予以合理细化量化。对违法行为的处置，要综合分析违法具体原因及历史、现实因素，准确适用《中华人民共和国行政处罚法》关于从轻、减轻、不予行政处罚的规定，以及《中华人民共和国行政强制法》关于依法审慎实施行政强制的规定，确保采取的行政执法措施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14.</w:t>
      </w:r>
      <w:r>
        <w:rPr>
          <w:rFonts w:hint="eastAsia" w:ascii="仿宋_GB2312" w:hAnsi="仿宋_GB2312" w:eastAsia="仿宋_GB2312" w:cs="仿宋_GB2312"/>
          <w:b/>
          <w:bCs/>
          <w:sz w:val="32"/>
          <w:szCs w:val="32"/>
          <w:lang w:val="en-US" w:eastAsia="zh-CN"/>
        </w:rPr>
        <w:t>注重信赖保护。</w:t>
      </w:r>
      <w:r>
        <w:rPr>
          <w:rFonts w:hint="eastAsia" w:ascii="仿宋_GB2312" w:hAnsi="仿宋_GB2312" w:eastAsia="仿宋_GB2312" w:cs="仿宋_GB2312"/>
          <w:b w:val="0"/>
          <w:bCs w:val="0"/>
          <w:sz w:val="32"/>
          <w:szCs w:val="32"/>
        </w:rPr>
        <w:t>遵守信赖保护原则，非因法定事由并经法定程序不得撤销、更改已经生效的执法决定。行政执法决定确有错误、不当，依法需撤销、变更，给当事人合法权益造成损失的，</w:t>
      </w:r>
      <w:r>
        <w:rPr>
          <w:rFonts w:hint="eastAsia" w:ascii="仿宋_GB2312" w:hAnsi="仿宋_GB2312" w:eastAsia="仿宋_GB2312" w:cs="仿宋_GB2312"/>
          <w:b w:val="0"/>
          <w:bCs w:val="0"/>
          <w:sz w:val="32"/>
          <w:szCs w:val="32"/>
          <w:lang w:val="en-US" w:eastAsia="zh-CN"/>
        </w:rPr>
        <w:t>区各行政执法单位应当依照《中华人民共和国民法典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中华人民共和国</w:t>
      </w:r>
      <w:r>
        <w:rPr>
          <w:rFonts w:hint="eastAsia" w:ascii="仿宋_GB2312" w:hAnsi="仿宋_GB2312" w:eastAsia="仿宋_GB2312" w:cs="仿宋_GB2312"/>
          <w:b w:val="0"/>
          <w:bCs w:val="0"/>
          <w:sz w:val="32"/>
          <w:szCs w:val="32"/>
        </w:rPr>
        <w:t>国家赔偿法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等规定妥善处理。充分发挥非诉纠纷解决机制作用，在不损害国家利益、公共利益和他人合法权益的前提下，争取运用协商、调解、分阶段执行等手段化解行政争议，努力实现案结事了。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z w:val="32"/>
          <w:szCs w:val="32"/>
          <w:lang w:val="en-US" w:eastAsia="zh-CN"/>
        </w:rPr>
        <w:t>15.</w:t>
      </w:r>
      <w:r>
        <w:rPr>
          <w:rFonts w:hint="eastAsia" w:ascii="仿宋_GB2312" w:hAnsi="仿宋_GB2312" w:eastAsia="仿宋_GB2312" w:cs="仿宋_GB2312"/>
          <w:b/>
          <w:bCs/>
          <w:sz w:val="32"/>
          <w:szCs w:val="32"/>
          <w:lang w:val="en-US" w:eastAsia="zh-CN"/>
        </w:rPr>
        <w:t>审慎实施罚款及行政强制。</w:t>
      </w:r>
      <w:r>
        <w:rPr>
          <w:rFonts w:hint="eastAsia" w:ascii="仿宋_GB2312" w:hAnsi="仿宋_GB2312" w:eastAsia="仿宋_GB2312" w:cs="仿宋_GB2312"/>
          <w:sz w:val="32"/>
          <w:szCs w:val="32"/>
          <w:lang w:val="en-US" w:eastAsia="zh-CN"/>
        </w:rPr>
        <w:t>严格落实《国务院关于进一步规范和监督罚款设定与实施的指导意见》的部署，依法科学确定罚款数额，严格规范实施罚款，防止过度处罚、随意顶格处罚。在行政处罚执行过程中，行政相对人确有经济困难，需要延期或者分期缴纳罚款的，按照《中华人民共和国行政处罚法》等有关规定处理。依法需要采取查封、扣押、冻结等措施的，应当限定在必需的范围内。依法实施行政强制执行，鼓励与当事人达成执行和解协议，提升执行效率，化解执行矛盾。严禁下达或者变相下达罚没指标，切实防范逐利式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16.</w:t>
      </w:r>
      <w:r>
        <w:rPr>
          <w:rFonts w:hint="eastAsia" w:ascii="仿宋_GB2312" w:hAnsi="仿宋_GB2312" w:eastAsia="仿宋_GB2312" w:cs="仿宋_GB2312"/>
          <w:b/>
          <w:bCs/>
          <w:sz w:val="32"/>
          <w:szCs w:val="32"/>
          <w:lang w:val="en-US" w:eastAsia="zh-CN"/>
        </w:rPr>
        <w:t>完善执法评估纠错机制。</w:t>
      </w:r>
      <w:r>
        <w:rPr>
          <w:rFonts w:hint="eastAsia" w:ascii="仿宋_GB2312" w:hAnsi="仿宋_GB2312" w:eastAsia="仿宋_GB2312" w:cs="仿宋_GB2312"/>
          <w:sz w:val="32"/>
          <w:szCs w:val="32"/>
          <w:lang w:val="en-US" w:eastAsia="zh-CN"/>
        </w:rPr>
        <w:t>对在特定时间、场合频发且未能有效治理的违法案件或者受到舆论普遍关注的执法现象，行政执法单位应当及时评估执法措施的合理性、必要性和公平性，改进和调整执法措施，并及时向区政府和上级业务主管部门报告。区各行政执法单位应当每年度适时开展本单位行政执法案卷评查，主动检查纠正涉企行政执法中存在的问题，已作出的行政执法决定确有错误或者确需纠正的，应当告知当事人并充分听取其陈述、申辩意见，依法作出撤销、补正、变更、确认原行政行为违法等决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val="0"/>
          <w:bCs w:val="0"/>
          <w:snapToGrid w:val="0"/>
          <w:color w:val="000000"/>
          <w:spacing w:val="0"/>
          <w:w w:val="100"/>
          <w:kern w:val="0"/>
          <w:position w:val="0"/>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17.</w:t>
      </w:r>
      <w:r>
        <w:rPr>
          <w:rFonts w:hint="eastAsia" w:ascii="仿宋_GB2312" w:hAnsi="仿宋_GB2312" w:eastAsia="仿宋_GB2312" w:cs="仿宋_GB2312"/>
          <w:b/>
          <w:bCs/>
          <w:sz w:val="32"/>
          <w:szCs w:val="32"/>
          <w:highlight w:val="none"/>
          <w:lang w:val="en-US" w:eastAsia="zh-CN"/>
        </w:rPr>
        <w:t>探索开展涉企行政执法案件经济影响评估工作。</w:t>
      </w:r>
      <w:r>
        <w:rPr>
          <w:rFonts w:hint="eastAsia" w:ascii="仿宋_GB2312" w:hAnsi="仿宋_GB2312" w:eastAsia="仿宋_GB2312" w:cs="仿宋_GB2312"/>
          <w:b w:val="0"/>
          <w:bCs w:val="0"/>
          <w:sz w:val="32"/>
          <w:szCs w:val="32"/>
          <w:highlight w:val="none"/>
          <w:lang w:val="en-US" w:eastAsia="zh-CN"/>
        </w:rPr>
        <w:t>探索在立案、调查或检查、决定、执行、执法信息公开等环节，对涉案企业生产经营活动可能受到的影响进行分析、评估，并作出有效防范和处置，依法降低行政执法对企业的负面影响。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（四）加强执法监督，促进行政权力规范透明运行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napToGrid w:val="0"/>
          <w:color w:val="000000"/>
          <w:kern w:val="0"/>
          <w:sz w:val="32"/>
          <w:szCs w:val="32"/>
          <w:lang w:val="en-US" w:eastAsia="zh-CN"/>
        </w:rPr>
        <w:t>18.</w:t>
      </w:r>
      <w:r>
        <w:rPr>
          <w:rFonts w:hint="eastAsia" w:ascii="仿宋_GB2312" w:hAnsi="仿宋_GB2312" w:eastAsia="仿宋_GB2312" w:cs="仿宋_GB2312"/>
          <w:b/>
          <w:bCs/>
          <w:snapToGrid w:val="0"/>
          <w:color w:val="000000"/>
          <w:kern w:val="0"/>
          <w:sz w:val="32"/>
          <w:szCs w:val="32"/>
        </w:rPr>
        <w:t>完善行政执法协调监督工作体系。</w:t>
      </w:r>
      <w:r>
        <w:rPr>
          <w:rFonts w:hint="eastAsia" w:ascii="仿宋_GB2312" w:hAnsi="仿宋_GB2312" w:eastAsia="仿宋_GB2312" w:cs="仿宋_GB2312"/>
          <w:snapToGrid w:val="0"/>
          <w:color w:val="000000"/>
          <w:kern w:val="0"/>
          <w:sz w:val="32"/>
          <w:szCs w:val="32"/>
        </w:rPr>
        <w:t>加强</w:t>
      </w:r>
      <w:r>
        <w:rPr>
          <w:rFonts w:hint="eastAsia" w:ascii="仿宋_GB2312" w:hAnsi="仿宋_GB2312" w:eastAsia="仿宋_GB2312" w:cs="仿宋_GB2312"/>
          <w:snapToGrid w:val="0"/>
          <w:color w:val="000000"/>
          <w:kern w:val="0"/>
          <w:sz w:val="32"/>
          <w:szCs w:val="32"/>
          <w:lang w:val="en-US" w:eastAsia="zh-CN"/>
        </w:rPr>
        <w:t>区司法行政部门</w:t>
      </w:r>
      <w:r>
        <w:rPr>
          <w:rFonts w:hint="eastAsia" w:ascii="仿宋_GB2312" w:hAnsi="仿宋_GB2312" w:eastAsia="仿宋_GB2312" w:cs="仿宋_GB2312"/>
          <w:snapToGrid w:val="0"/>
          <w:color w:val="000000"/>
          <w:kern w:val="0"/>
          <w:sz w:val="32"/>
          <w:szCs w:val="32"/>
        </w:rPr>
        <w:t>行政执法监督体制机制和队伍建设，探索建立司法所协助开展镇街行政执法监督工作机制</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构建区、镇街全覆盖的行政执法协调监督工作体系</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发挥区政府特邀行政执法监督员在现场</w:t>
      </w:r>
      <w:r>
        <w:rPr>
          <w:rFonts w:hint="eastAsia" w:ascii="仿宋_GB2312" w:hAnsi="仿宋_GB2312" w:eastAsia="仿宋_GB2312" w:cs="仿宋_GB2312"/>
          <w:sz w:val="32"/>
          <w:szCs w:val="32"/>
        </w:rPr>
        <w:t>行政执法监督检查、</w:t>
      </w:r>
      <w:r>
        <w:rPr>
          <w:rFonts w:hint="eastAsia" w:ascii="仿宋_GB2312" w:hAnsi="仿宋_GB2312" w:eastAsia="仿宋_GB2312" w:cs="仿宋_GB2312"/>
          <w:sz w:val="32"/>
          <w:szCs w:val="32"/>
          <w:lang w:val="en-US" w:eastAsia="zh-CN"/>
        </w:rPr>
        <w:t>行政执法案卷评查、</w:t>
      </w:r>
      <w:r>
        <w:rPr>
          <w:rFonts w:hint="eastAsia" w:ascii="仿宋_GB2312" w:hAnsi="仿宋_GB2312" w:eastAsia="仿宋_GB2312" w:cs="仿宋_GB2312"/>
          <w:sz w:val="32"/>
          <w:szCs w:val="32"/>
        </w:rPr>
        <w:t>重大行政执法争议协调等</w:t>
      </w:r>
      <w:r>
        <w:rPr>
          <w:rFonts w:hint="eastAsia" w:ascii="仿宋_GB2312" w:hAnsi="仿宋_GB2312" w:eastAsia="仿宋_GB2312" w:cs="仿宋_GB2312"/>
          <w:sz w:val="32"/>
          <w:szCs w:val="32"/>
          <w:lang w:val="en-US" w:eastAsia="zh-CN"/>
        </w:rPr>
        <w:t>执法监督</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社会监督作用。</w:t>
      </w:r>
      <w:r>
        <w:rPr>
          <w:rFonts w:hint="eastAsia" w:ascii="仿宋_GB2312" w:hAnsi="仿宋_GB2312" w:eastAsia="仿宋_GB2312" w:cs="仿宋_GB2312"/>
          <w:sz w:val="32"/>
          <w:szCs w:val="32"/>
        </w:rPr>
        <w:t>通过政务服务便民热线、在线政务服务平台</w:t>
      </w:r>
      <w:r>
        <w:rPr>
          <w:rFonts w:hint="eastAsia" w:ascii="仿宋_GB2312" w:hAnsi="仿宋_GB2312" w:eastAsia="仿宋_GB2312" w:cs="仿宋_GB2312"/>
          <w:snapToGrid/>
          <w:kern w:val="2"/>
          <w:sz w:val="32"/>
          <w:szCs w:val="32"/>
          <w:lang w:val="en-US" w:eastAsia="zh-CN"/>
        </w:rPr>
        <w:t>等渠道</w:t>
      </w:r>
      <w:r>
        <w:rPr>
          <w:rFonts w:hint="eastAsia" w:ascii="仿宋_GB2312" w:hAnsi="仿宋_GB2312" w:eastAsia="仿宋_GB2312" w:cs="仿宋_GB2312"/>
          <w:snapToGrid/>
          <w:kern w:val="2"/>
          <w:sz w:val="32"/>
          <w:szCs w:val="32"/>
        </w:rPr>
        <w:t>，听取</w:t>
      </w:r>
      <w:r>
        <w:rPr>
          <w:rFonts w:hint="eastAsia" w:ascii="仿宋_GB2312" w:hAnsi="仿宋_GB2312" w:eastAsia="仿宋_GB2312" w:cs="仿宋_GB2312"/>
          <w:snapToGrid/>
          <w:kern w:val="2"/>
          <w:sz w:val="32"/>
          <w:szCs w:val="32"/>
          <w:lang w:val="en-US" w:eastAsia="zh-CN"/>
        </w:rPr>
        <w:t>人民</w:t>
      </w:r>
      <w:r>
        <w:rPr>
          <w:rFonts w:hint="eastAsia" w:ascii="仿宋_GB2312" w:hAnsi="仿宋_GB2312" w:eastAsia="仿宋_GB2312" w:cs="仿宋_GB2312"/>
          <w:snapToGrid/>
          <w:kern w:val="2"/>
          <w:sz w:val="32"/>
          <w:szCs w:val="32"/>
        </w:rPr>
        <w:t>群众</w:t>
      </w:r>
      <w:r>
        <w:rPr>
          <w:rFonts w:hint="eastAsia" w:ascii="仿宋_GB2312" w:hAnsi="仿宋_GB2312" w:eastAsia="仿宋_GB2312" w:cs="仿宋_GB2312"/>
          <w:snapToGrid/>
          <w:kern w:val="2"/>
          <w:sz w:val="32"/>
          <w:szCs w:val="32"/>
          <w:lang w:val="en-US" w:eastAsia="zh-CN"/>
        </w:rPr>
        <w:t>和市场主体</w:t>
      </w:r>
      <w:r>
        <w:rPr>
          <w:rFonts w:hint="eastAsia" w:ascii="仿宋_GB2312" w:hAnsi="仿宋_GB2312" w:eastAsia="仿宋_GB2312" w:cs="仿宋_GB2312"/>
          <w:snapToGrid/>
          <w:kern w:val="2"/>
          <w:sz w:val="32"/>
          <w:szCs w:val="32"/>
        </w:rPr>
        <w:t>反映的行政执法突出问题，及时、准确回应诉求。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napToGrid w:val="0"/>
          <w:color w:val="000000"/>
          <w:spacing w:val="0"/>
          <w:w w:val="100"/>
          <w:kern w:val="0"/>
          <w:position w:val="0"/>
          <w:sz w:val="32"/>
          <w:szCs w:val="32"/>
          <w:lang w:val="en-US" w:eastAsia="zh-CN"/>
        </w:rPr>
      </w:pPr>
      <w:r>
        <w:rPr>
          <w:rFonts w:hint="eastAsia" w:ascii="Times New Roman" w:hAnsi="Times New Roman" w:eastAsia="仿宋_GB2312" w:cs="仿宋_GB2312"/>
          <w:b/>
          <w:bCs/>
          <w:snapToGrid w:val="0"/>
          <w:color w:val="000000"/>
          <w:spacing w:val="0"/>
          <w:w w:val="100"/>
          <w:kern w:val="0"/>
          <w:position w:val="0"/>
          <w:sz w:val="32"/>
          <w:szCs w:val="32"/>
          <w:lang w:val="en-US" w:eastAsia="zh-CN"/>
        </w:rPr>
        <w:t>19.</w:t>
      </w:r>
      <w:r>
        <w:rPr>
          <w:rFonts w:hint="eastAsia" w:ascii="仿宋_GB2312" w:hAnsi="仿宋_GB2312" w:eastAsia="仿宋_GB2312" w:cs="仿宋_GB2312"/>
          <w:b/>
          <w:bCs/>
          <w:snapToGrid w:val="0"/>
          <w:color w:val="000000"/>
          <w:kern w:val="0"/>
          <w:sz w:val="32"/>
          <w:szCs w:val="32"/>
        </w:rPr>
        <w:t>严格落实行政执法责任。</w:t>
      </w:r>
      <w:r>
        <w:rPr>
          <w:rFonts w:hint="eastAsia" w:ascii="仿宋_GB2312" w:hAnsi="仿宋_GB2312" w:eastAsia="仿宋_GB2312" w:cs="仿宋_GB2312"/>
          <w:snapToGrid w:val="0"/>
          <w:color w:val="000000"/>
          <w:kern w:val="0"/>
          <w:sz w:val="32"/>
          <w:szCs w:val="32"/>
        </w:rPr>
        <w:t>聚焦</w:t>
      </w:r>
      <w:r>
        <w:rPr>
          <w:rFonts w:hint="eastAsia" w:ascii="仿宋_GB2312" w:hAnsi="仿宋_GB2312" w:eastAsia="仿宋_GB2312" w:cs="仿宋_GB2312"/>
          <w:snapToGrid w:val="0"/>
          <w:color w:val="000000"/>
          <w:kern w:val="0"/>
          <w:sz w:val="32"/>
          <w:szCs w:val="32"/>
          <w:lang w:val="en-US" w:eastAsia="zh-CN"/>
        </w:rPr>
        <w:t>人民</w:t>
      </w:r>
      <w:r>
        <w:rPr>
          <w:rFonts w:hint="eastAsia" w:ascii="仿宋_GB2312" w:hAnsi="仿宋_GB2312" w:eastAsia="仿宋_GB2312" w:cs="仿宋_GB2312"/>
          <w:snapToGrid w:val="0"/>
          <w:color w:val="000000"/>
          <w:kern w:val="0"/>
          <w:sz w:val="32"/>
          <w:szCs w:val="32"/>
        </w:rPr>
        <w:t>群众</w:t>
      </w:r>
      <w:r>
        <w:rPr>
          <w:rFonts w:hint="eastAsia" w:ascii="仿宋_GB2312" w:hAnsi="仿宋_GB2312" w:eastAsia="仿宋_GB2312" w:cs="仿宋_GB2312"/>
          <w:snapToGrid w:val="0"/>
          <w:color w:val="000000"/>
          <w:kern w:val="0"/>
          <w:sz w:val="32"/>
          <w:szCs w:val="32"/>
          <w:lang w:val="en-US" w:eastAsia="zh-CN"/>
        </w:rPr>
        <w:t>和市场主体</w:t>
      </w:r>
      <w:r>
        <w:rPr>
          <w:rFonts w:hint="eastAsia" w:ascii="仿宋_GB2312" w:hAnsi="仿宋_GB2312" w:eastAsia="仿宋_GB2312" w:cs="仿宋_GB2312"/>
          <w:snapToGrid w:val="0"/>
          <w:color w:val="000000"/>
          <w:kern w:val="0"/>
          <w:sz w:val="32"/>
          <w:szCs w:val="32"/>
        </w:rPr>
        <w:t>反映强烈的</w:t>
      </w:r>
      <w:r>
        <w:rPr>
          <w:rFonts w:hint="eastAsia" w:ascii="仿宋_GB2312" w:hAnsi="仿宋_GB2312" w:eastAsia="仿宋_GB2312" w:cs="仿宋_GB2312"/>
          <w:snapToGrid w:val="0"/>
          <w:color w:val="000000"/>
          <w:kern w:val="0"/>
          <w:sz w:val="32"/>
          <w:szCs w:val="32"/>
          <w:lang w:val="en-US" w:eastAsia="zh-CN"/>
        </w:rPr>
        <w:t>行政执法问题，不定期</w:t>
      </w:r>
      <w:r>
        <w:rPr>
          <w:rFonts w:hint="eastAsia" w:ascii="仿宋_GB2312" w:hAnsi="仿宋_GB2312" w:eastAsia="仿宋_GB2312" w:cs="仿宋_GB2312"/>
          <w:snapToGrid w:val="0"/>
          <w:color w:val="000000"/>
          <w:kern w:val="0"/>
          <w:sz w:val="32"/>
          <w:szCs w:val="32"/>
        </w:rPr>
        <w:t>开展行政执法监督专项行动，大力整治行政执法不作为慢作为乱作为</w:t>
      </w:r>
      <w:r>
        <w:rPr>
          <w:rFonts w:hint="eastAsia" w:ascii="仿宋_GB2312" w:hAnsi="仿宋_GB2312" w:eastAsia="仿宋_GB2312" w:cs="仿宋_GB2312"/>
          <w:snapToGrid w:val="0"/>
          <w:color w:val="000000"/>
          <w:kern w:val="0"/>
          <w:sz w:val="32"/>
          <w:szCs w:val="32"/>
          <w:lang w:val="en-US" w:eastAsia="zh-CN"/>
        </w:rPr>
        <w:t>恣意裁量</w:t>
      </w:r>
      <w:r>
        <w:rPr>
          <w:rFonts w:hint="eastAsia" w:ascii="仿宋_GB2312" w:hAnsi="仿宋_GB2312" w:eastAsia="仿宋_GB2312" w:cs="仿宋_GB2312"/>
          <w:snapToGrid w:val="0"/>
          <w:color w:val="000000"/>
          <w:kern w:val="0"/>
          <w:sz w:val="32"/>
          <w:szCs w:val="32"/>
        </w:rPr>
        <w:t>、不严格不规范不文明不透明、“一刀切”等</w:t>
      </w:r>
      <w:r>
        <w:rPr>
          <w:rFonts w:hint="eastAsia" w:ascii="仿宋_GB2312" w:hAnsi="仿宋_GB2312" w:eastAsia="仿宋_GB2312" w:cs="仿宋_GB2312"/>
          <w:snapToGrid w:val="0"/>
          <w:color w:val="000000"/>
          <w:kern w:val="0"/>
          <w:sz w:val="32"/>
          <w:szCs w:val="32"/>
          <w:lang w:val="en-US" w:eastAsia="zh-CN"/>
        </w:rPr>
        <w:t>多发、</w:t>
      </w:r>
      <w:r>
        <w:rPr>
          <w:rFonts w:hint="eastAsia" w:ascii="仿宋_GB2312" w:hAnsi="仿宋_GB2312" w:eastAsia="仿宋_GB2312" w:cs="仿宋_GB2312"/>
          <w:snapToGrid w:val="0"/>
          <w:color w:val="000000"/>
          <w:kern w:val="0"/>
          <w:sz w:val="32"/>
          <w:szCs w:val="32"/>
        </w:rPr>
        <w:t>突出问题</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区各</w:t>
      </w:r>
      <w:r>
        <w:rPr>
          <w:rFonts w:hint="eastAsia" w:ascii="仿宋_GB2312" w:hAnsi="仿宋_GB2312" w:eastAsia="仿宋_GB2312" w:cs="仿宋_GB2312"/>
          <w:snapToGrid w:val="0"/>
          <w:color w:val="000000"/>
          <w:kern w:val="0"/>
          <w:sz w:val="32"/>
          <w:szCs w:val="32"/>
        </w:rPr>
        <w:t>行政执法</w:t>
      </w:r>
      <w:r>
        <w:rPr>
          <w:rFonts w:hint="eastAsia" w:ascii="仿宋_GB2312" w:hAnsi="仿宋_GB2312" w:eastAsia="仿宋_GB2312" w:cs="仿宋_GB2312"/>
          <w:snapToGrid w:val="0"/>
          <w:color w:val="000000"/>
          <w:kern w:val="0"/>
          <w:sz w:val="32"/>
          <w:szCs w:val="32"/>
          <w:lang w:val="en-US" w:eastAsia="zh-CN"/>
        </w:rPr>
        <w:t>单位</w:t>
      </w:r>
      <w:r>
        <w:rPr>
          <w:rFonts w:hint="eastAsia" w:ascii="仿宋_GB2312" w:hAnsi="仿宋_GB2312" w:eastAsia="仿宋_GB2312" w:cs="仿宋_GB2312"/>
          <w:snapToGrid w:val="0"/>
          <w:color w:val="000000"/>
          <w:kern w:val="0"/>
          <w:sz w:val="32"/>
          <w:szCs w:val="32"/>
        </w:rPr>
        <w:t>及其行政执法人员不依法行使职权或者不履行法定义务的，依法追究行政执法责任</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napToGrid/>
          <w:kern w:val="2"/>
          <w:sz w:val="32"/>
          <w:szCs w:val="32"/>
        </w:rPr>
      </w:pPr>
      <w:r>
        <w:rPr>
          <w:rFonts w:hint="eastAsia" w:ascii="Times New Roman" w:hAnsi="Times New Roman" w:eastAsia="仿宋_GB2312" w:cs="仿宋_GB2312"/>
          <w:b/>
          <w:bCs/>
          <w:snapToGrid/>
          <w:kern w:val="2"/>
          <w:sz w:val="32"/>
          <w:szCs w:val="32"/>
          <w:lang w:val="en-US" w:eastAsia="zh-CN"/>
        </w:rPr>
        <w:t>20</w:t>
      </w:r>
      <w:r>
        <w:rPr>
          <w:rFonts w:hint="eastAsia" w:ascii="Times New Roman" w:hAnsi="Times New Roman" w:eastAsia="仿宋_GB2312" w:cs="仿宋_GB2312"/>
          <w:b/>
          <w:bCs/>
          <w:snapToGrid/>
          <w:kern w:val="2"/>
          <w:sz w:val="32"/>
          <w:szCs w:val="32"/>
        </w:rPr>
        <w:t>.</w:t>
      </w:r>
      <w:r>
        <w:rPr>
          <w:rFonts w:hint="eastAsia" w:ascii="仿宋_GB2312" w:hAnsi="仿宋_GB2312" w:eastAsia="仿宋_GB2312" w:cs="仿宋_GB2312"/>
          <w:b/>
          <w:bCs/>
          <w:snapToGrid/>
          <w:kern w:val="2"/>
          <w:sz w:val="32"/>
          <w:szCs w:val="32"/>
          <w:lang w:val="en-US" w:eastAsia="zh-CN"/>
        </w:rPr>
        <w:t>强</w:t>
      </w:r>
      <w:r>
        <w:rPr>
          <w:rFonts w:hint="eastAsia" w:ascii="仿宋_GB2312" w:hAnsi="仿宋_GB2312" w:eastAsia="仿宋_GB2312" w:cs="仿宋_GB2312"/>
          <w:b/>
          <w:bCs/>
          <w:snapToGrid/>
          <w:kern w:val="2"/>
          <w:sz w:val="32"/>
          <w:szCs w:val="32"/>
        </w:rPr>
        <w:t>化省一体化行政执法平台应用。</w:t>
      </w:r>
      <w:r>
        <w:rPr>
          <w:rFonts w:hint="eastAsia" w:ascii="仿宋_GB2312" w:hAnsi="仿宋_GB2312" w:eastAsia="仿宋_GB2312" w:cs="仿宋_GB2312"/>
          <w:snapToGrid/>
          <w:kern w:val="2"/>
          <w:sz w:val="32"/>
          <w:szCs w:val="32"/>
        </w:rPr>
        <w:t>推进广东省一体化行政执法平台应用全覆盖，除《广东省一体化行政执法平台管理办法》</w:t>
      </w:r>
      <w:r>
        <w:rPr>
          <w:rFonts w:hint="eastAsia" w:ascii="仿宋_GB2312" w:hAnsi="仿宋_GB2312" w:eastAsia="仿宋_GB2312" w:cs="仿宋_GB2312"/>
          <w:snapToGrid/>
          <w:kern w:val="2"/>
          <w:sz w:val="32"/>
          <w:szCs w:val="32"/>
          <w:lang w:eastAsia="zh-CN"/>
        </w:rPr>
        <w:t>（粤府〔</w:t>
      </w:r>
      <w:r>
        <w:rPr>
          <w:rFonts w:hint="eastAsia" w:ascii="Times New Roman" w:hAnsi="Times New Roman" w:eastAsia="仿宋_GB2312" w:cs="仿宋_GB2312"/>
          <w:snapToGrid/>
          <w:kern w:val="2"/>
          <w:sz w:val="32"/>
          <w:szCs w:val="32"/>
          <w:lang w:eastAsia="zh-CN"/>
        </w:rPr>
        <w:t>2023</w:t>
      </w:r>
      <w:r>
        <w:rPr>
          <w:rFonts w:hint="eastAsia" w:ascii="仿宋_GB2312" w:hAnsi="仿宋_GB2312" w:eastAsia="仿宋_GB2312" w:cs="仿宋_GB2312"/>
          <w:snapToGrid/>
          <w:kern w:val="2"/>
          <w:sz w:val="32"/>
          <w:szCs w:val="32"/>
          <w:lang w:eastAsia="zh-CN"/>
        </w:rPr>
        <w:t>〕</w:t>
      </w:r>
      <w:r>
        <w:rPr>
          <w:rFonts w:hint="eastAsia" w:ascii="Times New Roman" w:hAnsi="Times New Roman" w:eastAsia="仿宋_GB2312" w:cs="仿宋_GB2312"/>
          <w:snapToGrid/>
          <w:kern w:val="2"/>
          <w:sz w:val="32"/>
          <w:szCs w:val="32"/>
          <w:lang w:eastAsia="zh-CN"/>
        </w:rPr>
        <w:t>73</w:t>
      </w:r>
      <w:r>
        <w:rPr>
          <w:rFonts w:hint="eastAsia" w:ascii="仿宋_GB2312" w:hAnsi="仿宋_GB2312" w:eastAsia="仿宋_GB2312" w:cs="仿宋_GB2312"/>
          <w:snapToGrid/>
          <w:kern w:val="2"/>
          <w:sz w:val="32"/>
          <w:szCs w:val="32"/>
          <w:lang w:eastAsia="zh-CN"/>
        </w:rPr>
        <w:t>号）</w:t>
      </w:r>
      <w:r>
        <w:rPr>
          <w:rFonts w:hint="eastAsia" w:ascii="仿宋_GB2312" w:hAnsi="仿宋_GB2312" w:eastAsia="仿宋_GB2312" w:cs="仿宋_GB2312"/>
          <w:snapToGrid/>
          <w:kern w:val="2"/>
          <w:sz w:val="32"/>
          <w:szCs w:val="32"/>
        </w:rPr>
        <w:t>第十九条规定情形外，行政执法单位应当上线应用广东省一体化行政执法平台办理行政处罚、行政强制、行政检查案件，全面实现执法信息网上采集、执法程序网上流转、执法活动网上监督、执法情况网上查询和执法数据综合分析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区各行政执法单位</w:t>
      </w:r>
      <w:r>
        <w:rPr>
          <w:rFonts w:hint="default"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lang w:val="en-US" w:eastAsia="zh-CN"/>
        </w:rPr>
        <w:t>切实提高思想认识，切实明确依法行政主体责任，深化包容审慎监管制度运用，</w:t>
      </w:r>
      <w:r>
        <w:rPr>
          <w:rFonts w:hint="default" w:ascii="仿宋_GB2312" w:hAnsi="仿宋_GB2312" w:eastAsia="仿宋_GB2312" w:cs="仿宋_GB2312"/>
          <w:sz w:val="32"/>
          <w:szCs w:val="32"/>
          <w:lang w:val="en-US" w:eastAsia="zh-CN"/>
        </w:rPr>
        <w:t>把全面推行</w:t>
      </w:r>
      <w:r>
        <w:rPr>
          <w:rFonts w:hint="eastAsia" w:ascii="仿宋_GB2312" w:hAnsi="仿宋_GB2312" w:eastAsia="仿宋_GB2312" w:cs="仿宋_GB2312"/>
          <w:sz w:val="32"/>
          <w:szCs w:val="32"/>
          <w:lang w:val="en-US" w:eastAsia="zh-CN"/>
        </w:rPr>
        <w:t>柔性执法</w:t>
      </w:r>
      <w:r>
        <w:rPr>
          <w:rFonts w:hint="default" w:ascii="仿宋_GB2312" w:hAnsi="仿宋_GB2312" w:eastAsia="仿宋_GB2312" w:cs="仿宋_GB2312"/>
          <w:sz w:val="32"/>
          <w:szCs w:val="32"/>
          <w:lang w:val="en-US" w:eastAsia="zh-CN"/>
        </w:rPr>
        <w:t>包容审慎监管作为贯彻</w:t>
      </w:r>
      <w:r>
        <w:rPr>
          <w:rFonts w:hint="eastAsia" w:ascii="仿宋_GB2312" w:hAnsi="仿宋_GB2312" w:eastAsia="仿宋_GB2312" w:cs="仿宋_GB2312"/>
          <w:sz w:val="32"/>
          <w:szCs w:val="32"/>
          <w:lang w:val="en-US" w:eastAsia="zh-CN"/>
        </w:rPr>
        <w:t>落实</w:t>
      </w:r>
      <w:r>
        <w:rPr>
          <w:rFonts w:hint="default" w:ascii="仿宋_GB2312" w:hAnsi="仿宋_GB2312" w:eastAsia="仿宋_GB2312" w:cs="仿宋_GB2312"/>
          <w:sz w:val="32"/>
          <w:szCs w:val="32"/>
          <w:lang w:val="en-US" w:eastAsia="zh-CN"/>
        </w:rPr>
        <w:t>习近平法治思想的重要举措，进一步</w:t>
      </w:r>
      <w:r>
        <w:rPr>
          <w:rFonts w:hint="eastAsia" w:ascii="仿宋_GB2312" w:hAnsi="仿宋_GB2312" w:eastAsia="仿宋_GB2312" w:cs="仿宋_GB2312"/>
          <w:sz w:val="32"/>
          <w:szCs w:val="32"/>
          <w:lang w:val="en-US" w:eastAsia="zh-CN"/>
        </w:rPr>
        <w:t>细化措施、</w:t>
      </w:r>
      <w:r>
        <w:rPr>
          <w:rFonts w:hint="default" w:ascii="仿宋_GB2312" w:hAnsi="仿宋_GB2312" w:eastAsia="仿宋_GB2312" w:cs="仿宋_GB2312"/>
          <w:sz w:val="32"/>
          <w:szCs w:val="32"/>
          <w:lang w:val="en-US" w:eastAsia="zh-CN"/>
        </w:rPr>
        <w:t>压实责任、狠抓落实，力戒形式主义、官僚主义</w:t>
      </w:r>
      <w:r>
        <w:rPr>
          <w:rFonts w:hint="eastAsia" w:ascii="仿宋_GB2312" w:hAnsi="仿宋_GB2312" w:eastAsia="仿宋_GB2312" w:cs="仿宋_GB2312"/>
          <w:sz w:val="32"/>
          <w:szCs w:val="32"/>
          <w:lang w:val="en-US" w:eastAsia="zh-CN"/>
        </w:rPr>
        <w:t>，确保工作取得实效。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（二）深化能力建设。</w:t>
      </w:r>
      <w:r>
        <w:rPr>
          <w:rFonts w:hint="eastAsia" w:ascii="仿宋_GB2312" w:hAnsi="仿宋_GB2312" w:eastAsia="仿宋_GB2312" w:cs="仿宋_GB2312"/>
          <w:sz w:val="32"/>
          <w:szCs w:val="32"/>
          <w:lang w:val="en-US" w:eastAsia="zh-CN"/>
        </w:rPr>
        <w:t>区各行政执法单位</w:t>
      </w:r>
      <w:r>
        <w:rPr>
          <w:rFonts w:hint="default" w:ascii="仿宋_GB2312" w:hAnsi="仿宋_GB2312" w:eastAsia="仿宋_GB2312" w:cs="仿宋_GB2312"/>
          <w:sz w:val="32"/>
          <w:szCs w:val="32"/>
          <w:lang w:val="en-US" w:eastAsia="zh-CN"/>
        </w:rPr>
        <w:t>要进一步加强行政执法队伍</w:t>
      </w:r>
      <w:r>
        <w:rPr>
          <w:rFonts w:hint="eastAsia" w:ascii="仿宋_GB2312" w:hAnsi="仿宋_GB2312" w:eastAsia="仿宋_GB2312" w:cs="仿宋_GB2312"/>
          <w:sz w:val="32"/>
          <w:szCs w:val="32"/>
          <w:lang w:val="en-US" w:eastAsia="zh-CN"/>
        </w:rPr>
        <w:t>执法业务学习</w:t>
      </w:r>
      <w:r>
        <w:rPr>
          <w:rFonts w:hint="default"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lang w:val="en-US" w:eastAsia="zh-CN"/>
        </w:rPr>
        <w:t>强化行政执法人员柔性执法包容审慎监管理念，细化行政裁量权基准管理、适用工作指引，积极运用</w:t>
      </w:r>
      <w:r>
        <w:rPr>
          <w:rFonts w:hint="default" w:ascii="仿宋_GB2312" w:hAnsi="仿宋_GB2312" w:eastAsia="仿宋_GB2312" w:cs="仿宋_GB2312"/>
          <w:sz w:val="32"/>
          <w:szCs w:val="32"/>
          <w:lang w:val="en-US" w:eastAsia="zh-CN"/>
        </w:rPr>
        <w:t>典型案例做好以案释法</w:t>
      </w:r>
      <w:r>
        <w:rPr>
          <w:rFonts w:hint="eastAsia" w:ascii="仿宋_GB2312" w:hAnsi="仿宋_GB2312" w:eastAsia="仿宋_GB2312" w:cs="仿宋_GB2312"/>
          <w:sz w:val="32"/>
          <w:szCs w:val="32"/>
          <w:lang w:val="en-US" w:eastAsia="zh-CN"/>
        </w:rPr>
        <w:t>、以案析理</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，有效解决行政执法人员不愿、不会、不敢减免罚的问题，也避免减免罚产生“尺度不一”“畸轻畸重”，促进精准执法，持续增强和提升</w:t>
      </w:r>
      <w:r>
        <w:rPr>
          <w:rFonts w:hint="default" w:ascii="仿宋_GB2312" w:hAnsi="仿宋_GB2312" w:eastAsia="仿宋_GB2312" w:cs="仿宋_GB2312"/>
          <w:sz w:val="32"/>
          <w:szCs w:val="32"/>
          <w:lang w:val="en-US" w:eastAsia="zh-CN"/>
        </w:rPr>
        <w:t>行政执法人员政治意识、法治素养、服务观念和工作能力。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autoSpaceDE/>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（三）强化宣传引导。</w:t>
      </w:r>
      <w:r>
        <w:rPr>
          <w:rFonts w:hint="eastAsia" w:ascii="仿宋_GB2312" w:hAnsi="仿宋_GB2312" w:eastAsia="仿宋_GB2312" w:cs="仿宋_GB2312"/>
          <w:sz w:val="32"/>
          <w:szCs w:val="32"/>
          <w:lang w:val="en-US" w:eastAsia="zh-CN"/>
        </w:rPr>
        <w:t>区各行政执法单位要严格落实“谁执法谁普法”的普法责任制，注重运用政务新媒体、政府门户网站等，科学有效宣传包容审慎监管工作，及时总结推广应用可复制、可操作的好经验、好做法、好成效，把法治的温度传导给市场主体，持续擦亮南沙全国首批法治政府建设示范区金字招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autoSpaceDE/>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1247" w:gutter="0"/>
          <w:pgNumType w:fmt="decimal"/>
          <w:cols w:space="720" w:num="1"/>
          <w:docGrid w:type="lines" w:linePitch="312" w:charSpace="0"/>
        </w:sectPr>
      </w:pPr>
      <w:r>
        <w:rPr>
          <w:rFonts w:hint="eastAsia" w:ascii="楷体_GB2312" w:hAnsi="楷体_GB2312" w:eastAsia="楷体_GB2312" w:cs="楷体_GB2312"/>
          <w:sz w:val="32"/>
          <w:szCs w:val="32"/>
          <w:lang w:val="en-US" w:eastAsia="zh-CN"/>
        </w:rPr>
        <w:t>（四）严格监督检查。</w:t>
      </w:r>
      <w:r>
        <w:rPr>
          <w:rFonts w:hint="eastAsia" w:ascii="仿宋_GB2312" w:hAnsi="仿宋_GB2312" w:eastAsia="仿宋_GB2312" w:cs="仿宋_GB2312"/>
          <w:sz w:val="32"/>
          <w:szCs w:val="32"/>
          <w:lang w:val="en-US" w:eastAsia="zh-CN"/>
        </w:rPr>
        <w:t>区司法行政部门要加强对各行政执法单位落实柔性执法包容审慎监管情况的监督，把全区行政执法单位推行柔性执法包容审慎监管的工作情况和社会效果，作为贯彻落实区委《广州市南沙区法治化营商环境规划（</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年）》的具体举措，纳入法治南沙建设考核和法治政府建设督察重要内容。</w:t>
      </w:r>
    </w:p>
    <w:p>
      <w:pPr>
        <w:rPr>
          <w:rFonts w:hint="default"/>
          <w:lang w:val="en-US" w:eastAsia="zh-CN"/>
        </w:rPr>
      </w:pPr>
    </w:p>
    <w:p>
      <w:pPr>
        <w:rPr>
          <w:rFonts w:hint="default" w:ascii="Times New Roman" w:hAnsi="Times New Roman" w:eastAsia="仿宋_GB2312" w:cs="Times New Roman"/>
          <w:sz w:val="32"/>
          <w:szCs w:val="32"/>
          <w:highlight w:val="yellow"/>
          <w:lang w:val="en-US" w:eastAsia="zh-CN"/>
        </w:rPr>
      </w:pPr>
    </w:p>
    <w:p>
      <w:pPr>
        <w:pStyle w:val="5"/>
        <w:rPr>
          <w:rFonts w:hint="default" w:ascii="Times New Roman" w:hAnsi="Times New Roman" w:eastAsia="仿宋_GB2312" w:cs="Times New Roman"/>
          <w:sz w:val="32"/>
          <w:szCs w:val="32"/>
          <w:highlight w:val="yellow"/>
          <w:lang w:val="en-US" w:eastAsia="zh-CN"/>
        </w:rPr>
      </w:pPr>
    </w:p>
    <w:p>
      <w:pPr>
        <w:rPr>
          <w:rFonts w:hint="default" w:ascii="Times New Roman" w:hAnsi="Times New Roman" w:eastAsia="仿宋_GB2312" w:cs="Times New Roman"/>
          <w:sz w:val="32"/>
          <w:szCs w:val="32"/>
          <w:highlight w:val="yellow"/>
          <w:lang w:val="en-US" w:eastAsia="zh-CN"/>
        </w:rPr>
      </w:pPr>
    </w:p>
    <w:p>
      <w:pPr>
        <w:pStyle w:val="5"/>
        <w:rPr>
          <w:rFonts w:hint="default" w:ascii="Times New Roman" w:hAnsi="Times New Roman" w:eastAsia="仿宋_GB2312" w:cs="Times New Roman"/>
          <w:sz w:val="32"/>
          <w:szCs w:val="32"/>
          <w:highlight w:val="yellow"/>
          <w:lang w:val="en-US" w:eastAsia="zh-CN"/>
        </w:rPr>
      </w:pPr>
    </w:p>
    <w:p>
      <w:pPr>
        <w:rPr>
          <w:rFonts w:hint="default" w:ascii="Times New Roman" w:hAnsi="Times New Roman" w:eastAsia="仿宋_GB2312" w:cs="Times New Roman"/>
          <w:sz w:val="32"/>
          <w:szCs w:val="32"/>
          <w:highlight w:val="yellow"/>
          <w:lang w:val="en-US" w:eastAsia="zh-CN"/>
        </w:rPr>
      </w:pPr>
    </w:p>
    <w:p>
      <w:pPr>
        <w:pStyle w:val="5"/>
        <w:rPr>
          <w:rFonts w:hint="default" w:ascii="Times New Roman" w:hAnsi="Times New Roman" w:eastAsia="仿宋_GB2312" w:cs="Times New Roman"/>
          <w:sz w:val="32"/>
          <w:szCs w:val="32"/>
          <w:highlight w:val="yellow"/>
          <w:lang w:val="en-US" w:eastAsia="zh-CN"/>
        </w:rPr>
      </w:pPr>
    </w:p>
    <w:p>
      <w:pPr>
        <w:rPr>
          <w:rFonts w:hint="default" w:ascii="Times New Roman" w:hAnsi="Times New Roman" w:eastAsia="仿宋_GB2312" w:cs="Times New Roman"/>
          <w:sz w:val="32"/>
          <w:szCs w:val="32"/>
          <w:highlight w:val="yellow"/>
          <w:lang w:val="en-US" w:eastAsia="zh-CN"/>
        </w:rPr>
      </w:pPr>
    </w:p>
    <w:p>
      <w:pPr>
        <w:pStyle w:val="5"/>
        <w:rPr>
          <w:rFonts w:hint="default" w:ascii="Times New Roman" w:hAnsi="Times New Roman" w:eastAsia="仿宋_GB2312" w:cs="Times New Roman"/>
          <w:sz w:val="32"/>
          <w:szCs w:val="32"/>
          <w:highlight w:val="yellow"/>
          <w:lang w:val="en-US" w:eastAsia="zh-CN"/>
        </w:rPr>
      </w:pPr>
    </w:p>
    <w:p>
      <w:pPr>
        <w:rPr>
          <w:rFonts w:hint="default" w:ascii="Times New Roman" w:hAnsi="Times New Roman" w:eastAsia="仿宋_GB2312" w:cs="Times New Roman"/>
          <w:sz w:val="32"/>
          <w:szCs w:val="32"/>
          <w:highlight w:val="yellow"/>
          <w:lang w:val="en-US" w:eastAsia="zh-CN"/>
        </w:rPr>
      </w:pPr>
    </w:p>
    <w:p>
      <w:pPr>
        <w:pStyle w:val="5"/>
        <w:rPr>
          <w:rFonts w:hint="default" w:ascii="Times New Roman" w:hAnsi="Times New Roman" w:eastAsia="仿宋_GB2312" w:cs="Times New Roman"/>
          <w:sz w:val="32"/>
          <w:szCs w:val="32"/>
          <w:highlight w:val="yellow"/>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pStyle w:val="10"/>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pStyle w:val="10"/>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rPr>
          <w:rFonts w:hint="default"/>
          <w:lang w:val="en-US" w:eastAsia="zh-CN"/>
        </w:rPr>
      </w:pPr>
    </w:p>
    <w:p>
      <w:pPr>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公开方式：</w:t>
      </w:r>
      <w:r>
        <w:rPr>
          <w:rFonts w:hint="eastAsia" w:ascii="Times New Roman" w:hAnsi="Times New Roman" w:eastAsia="仿宋_GB2312" w:cs="Times New Roman"/>
          <w:sz w:val="32"/>
          <w:szCs w:val="32"/>
          <w:lang w:val="en-US" w:eastAsia="zh-CN"/>
        </w:rPr>
        <w:t>主动</w:t>
      </w:r>
      <w:r>
        <w:rPr>
          <w:rFonts w:hint="default" w:ascii="Times New Roman" w:hAnsi="Times New Roman" w:eastAsia="仿宋_GB2312" w:cs="Times New Roman"/>
          <w:sz w:val="32"/>
          <w:szCs w:val="32"/>
          <w:lang w:val="en-US" w:eastAsia="zh-CN"/>
        </w:rPr>
        <w:t>公开</w:t>
      </w:r>
    </w:p>
    <w:sectPr>
      <w:footerReference r:id="rId4" w:type="default"/>
      <w:pgSz w:w="11906" w:h="16838"/>
      <w:pgMar w:top="2098" w:right="1474" w:bottom="1984" w:left="1587"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25CED"/>
    <w:rsid w:val="0038393F"/>
    <w:rsid w:val="01672132"/>
    <w:rsid w:val="01D11BA0"/>
    <w:rsid w:val="02D77F8D"/>
    <w:rsid w:val="03F15333"/>
    <w:rsid w:val="04E3305E"/>
    <w:rsid w:val="05897C5C"/>
    <w:rsid w:val="06093EE2"/>
    <w:rsid w:val="085C401E"/>
    <w:rsid w:val="089448F9"/>
    <w:rsid w:val="08D73571"/>
    <w:rsid w:val="08E541D9"/>
    <w:rsid w:val="09001949"/>
    <w:rsid w:val="09561F12"/>
    <w:rsid w:val="0C941518"/>
    <w:rsid w:val="0D1F6631"/>
    <w:rsid w:val="0D3032F7"/>
    <w:rsid w:val="0EAB1E20"/>
    <w:rsid w:val="0F20406A"/>
    <w:rsid w:val="0F2E7DF8"/>
    <w:rsid w:val="12ED5EDA"/>
    <w:rsid w:val="1528126A"/>
    <w:rsid w:val="15BB2DFC"/>
    <w:rsid w:val="16B52331"/>
    <w:rsid w:val="18CE65C4"/>
    <w:rsid w:val="23B93983"/>
    <w:rsid w:val="25232E0F"/>
    <w:rsid w:val="28361DD5"/>
    <w:rsid w:val="2B5A6D7D"/>
    <w:rsid w:val="2FA173D3"/>
    <w:rsid w:val="2FAE1E14"/>
    <w:rsid w:val="33F97226"/>
    <w:rsid w:val="374A7E99"/>
    <w:rsid w:val="39766F89"/>
    <w:rsid w:val="3A4E67B2"/>
    <w:rsid w:val="3A6A5D5B"/>
    <w:rsid w:val="3ACE3FD1"/>
    <w:rsid w:val="3EB80FE8"/>
    <w:rsid w:val="41D602E2"/>
    <w:rsid w:val="43C47CA0"/>
    <w:rsid w:val="44297277"/>
    <w:rsid w:val="461E1513"/>
    <w:rsid w:val="4CA73CF3"/>
    <w:rsid w:val="4DE05BFD"/>
    <w:rsid w:val="4E925CED"/>
    <w:rsid w:val="4FE219B7"/>
    <w:rsid w:val="518077B8"/>
    <w:rsid w:val="52456678"/>
    <w:rsid w:val="558142BA"/>
    <w:rsid w:val="55F32079"/>
    <w:rsid w:val="56D84D6E"/>
    <w:rsid w:val="5732652F"/>
    <w:rsid w:val="5749712A"/>
    <w:rsid w:val="57E27AF0"/>
    <w:rsid w:val="590F6221"/>
    <w:rsid w:val="5F924BE4"/>
    <w:rsid w:val="6057517B"/>
    <w:rsid w:val="61934A43"/>
    <w:rsid w:val="63943307"/>
    <w:rsid w:val="63EA43DA"/>
    <w:rsid w:val="66AB432D"/>
    <w:rsid w:val="672F1151"/>
    <w:rsid w:val="6D2149A4"/>
    <w:rsid w:val="6DB14449"/>
    <w:rsid w:val="6E0A0234"/>
    <w:rsid w:val="71391145"/>
    <w:rsid w:val="74647139"/>
    <w:rsid w:val="79EE4324"/>
    <w:rsid w:val="7DB477C9"/>
    <w:rsid w:val="7E376FDB"/>
    <w:rsid w:val="7EE00180"/>
    <w:rsid w:val="DEC7E4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408" w:lineRule="auto"/>
      <w:outlineLvl w:val="1"/>
    </w:pPr>
    <w:rPr>
      <w:rFonts w:ascii="仿宋_GB2312" w:hAnsi="仿宋_GB2312" w:eastAsia="黑体" w:cs="Arial"/>
      <w:b/>
      <w:kern w:val="44"/>
      <w:sz w:val="28"/>
      <w:szCs w:val="28"/>
    </w:rPr>
  </w:style>
  <w:style w:type="paragraph" w:styleId="4">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paragraph" w:styleId="2">
    <w:name w:val="heading 4"/>
    <w:basedOn w:val="1"/>
    <w:next w:val="1"/>
    <w:qFormat/>
    <w:uiPriority w:val="0"/>
    <w:pPr>
      <w:keepNext/>
      <w:keepLines/>
      <w:spacing w:before="280" w:after="290" w:line="376" w:lineRule="auto"/>
      <w:jc w:val="center"/>
      <w:outlineLvl w:val="3"/>
    </w:pPr>
    <w:rPr>
      <w:rFonts w:ascii="Calibri Light" w:hAnsi="Calibri Light" w:eastAsia="黑体"/>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Body Text Indent"/>
    <w:basedOn w:val="1"/>
    <w:qFormat/>
    <w:uiPriority w:val="0"/>
    <w:pPr>
      <w:widowControl w:val="0"/>
      <w:ind w:left="420" w:leftChars="200"/>
      <w:jc w:val="both"/>
    </w:pPr>
    <w:rPr>
      <w:rFonts w:ascii="Times New Roman" w:hAnsi="Times New Roman" w:eastAsia="仿宋" w:cs="Times New Roman"/>
      <w:kern w:val="2"/>
      <w:sz w:val="32"/>
      <w:lang w:val="en-US" w:eastAsia="zh-CN"/>
    </w:rPr>
  </w:style>
  <w:style w:type="paragraph" w:styleId="7">
    <w:name w:val="toc 5"/>
    <w:next w:val="1"/>
    <w:qFormat/>
    <w:uiPriority w:val="0"/>
    <w:pPr>
      <w:widowControl w:val="0"/>
      <w:ind w:left="1680" w:leftChars="800"/>
      <w:jc w:val="both"/>
    </w:pPr>
    <w:rPr>
      <w:rFonts w:ascii="Times New Roman" w:hAnsi="Times New Roman" w:eastAsia="仿宋" w:cs="Times New Roman"/>
      <w:kern w:val="2"/>
      <w:sz w:val="32"/>
      <w:lang w:val="en-US" w:eastAsia="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Body Text First Indent"/>
    <w:basedOn w:val="5"/>
    <w:next w:val="12"/>
    <w:qFormat/>
    <w:uiPriority w:val="0"/>
    <w:pPr>
      <w:spacing w:after="0" w:line="320" w:lineRule="exact"/>
      <w:ind w:firstLine="420" w:firstLineChars="100"/>
      <w:jc w:val="center"/>
    </w:pPr>
    <w:rPr>
      <w:rFonts w:hint="eastAsia"/>
    </w:rPr>
  </w:style>
  <w:style w:type="paragraph" w:styleId="12">
    <w:name w:val="Body Text First Indent 2"/>
    <w:basedOn w:val="6"/>
    <w:next w:val="11"/>
    <w:qFormat/>
    <w:uiPriority w:val="0"/>
    <w:pPr>
      <w:widowControl w:val="0"/>
      <w:ind w:left="0" w:leftChars="0" w:firstLine="420" w:firstLineChars="200"/>
      <w:jc w:val="both"/>
    </w:pPr>
    <w:rPr>
      <w:rFonts w:ascii="Times New Roman" w:hAnsi="Times New Roman" w:eastAsia="宋体" w:cs="Times New Roman"/>
      <w:kern w:val="2"/>
      <w:sz w:val="32"/>
      <w:lang w:val="en-US" w:eastAsia="zh-CN"/>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7">
    <w:name w:val="正文文本 New"/>
    <w:basedOn w:val="18"/>
    <w:qFormat/>
    <w:uiPriority w:val="0"/>
    <w:pPr>
      <w:spacing w:line="520" w:lineRule="atLeast"/>
      <w:jc w:val="center"/>
    </w:pPr>
    <w:rPr>
      <w:rFonts w:eastAsia="方正小标宋简体"/>
      <w:sz w:val="44"/>
    </w:rPr>
  </w:style>
  <w:style w:type="paragraph" w:customStyle="1" w:styleId="18">
    <w:name w:val="正文 New"/>
    <w:next w:val="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Normal Indent1"/>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20">
    <w:name w:val="无间隔1"/>
    <w:qFormat/>
    <w:uiPriority w:val="0"/>
    <w:pPr>
      <w:widowControl w:val="0"/>
      <w:jc w:val="both"/>
    </w:pPr>
    <w:rPr>
      <w:rFonts w:ascii="Times New Roman" w:hAnsi="Times New Roman" w:eastAsia="仿宋_GB2312" w:cs="黑体"/>
      <w:kern w:val="2"/>
      <w:sz w:val="32"/>
      <w:szCs w:val="22"/>
      <w:lang w:val="en-US" w:eastAsia="zh-CN" w:bidi="ar-SA"/>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2022-09-14T15:57:00Z</dcterms:created>
  <dc:creator>Administrator</dc:creator>
  <cp:lastModifiedBy>user</cp:lastModifiedBy>
  <cp:lastPrinted>2023-01-31T16:33:00Z</cp:lastPrinted>
  <dcterms:modified xsi:type="dcterms:W3CDTF">2024-07-10T16:38:52Z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