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pacing w:beforeLines="0" w:afterLines="0" w:line="560" w:lineRule="exact"/>
        <w:ind w:firstLine="0" w:firstLineChars="0"/>
        <w:rPr>
          <w:rFonts w:hint="eastAsia" w:ascii="黑体" w:hAnsi="华文仿宋" w:eastAsia="黑体"/>
          <w:sz w:val="32"/>
          <w:szCs w:val="32"/>
        </w:rPr>
      </w:pPr>
      <w:r>
        <w:rPr>
          <w:rFonts w:hint="eastAsia" w:ascii="黑体" w:hAnsi="华文仿宋" w:eastAsia="黑体"/>
          <w:sz w:val="32"/>
          <w:szCs w:val="32"/>
        </w:rPr>
        <w:t>附件</w:t>
      </w:r>
    </w:p>
    <w:p>
      <w:pPr>
        <w:spacing w:beforeLines="0" w:afterLines="0" w:line="560" w:lineRule="exact"/>
        <w:ind w:left="0" w:leftChars="0" w:firstLine="0" w:firstLineChars="0"/>
        <w:jc w:val="center"/>
        <w:rPr>
          <w:rFonts w:hint="eastAsia" w:ascii="仿宋_GB2312" w:hAnsi="华文仿宋" w:eastAsia="仿宋_GB2312"/>
          <w:sz w:val="32"/>
          <w:szCs w:val="32"/>
        </w:rPr>
      </w:pP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94"/>
          <w:kern w:val="0"/>
          <w:sz w:val="44"/>
          <w:szCs w:val="44"/>
          <w:fitText w:val="7876" w:id="214507073"/>
          <w:lang w:val="en-US" w:eastAsia="zh-CN"/>
        </w:rPr>
        <w:t>《</w:t>
      </w:r>
      <w:r>
        <w:rPr>
          <w:rFonts w:hint="eastAsia" w:ascii="方正小标宋简体" w:hAnsi="方正小标宋简体" w:eastAsia="方正小标宋简体" w:cs="方正小标宋简体"/>
          <w:spacing w:val="1"/>
          <w:w w:val="94"/>
          <w:kern w:val="0"/>
          <w:sz w:val="44"/>
          <w:szCs w:val="44"/>
          <w:fitText w:val="7876" w:id="214507073"/>
        </w:rPr>
        <w:t>国家药监局关于简化港澳已上市传统口服</w:t>
      </w: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中成药内地上市注册审批的公告</w:t>
      </w:r>
      <w:r>
        <w:rPr>
          <w:rFonts w:hint="eastAsia" w:ascii="方正小标宋简体" w:hAnsi="方正小标宋简体" w:eastAsia="方正小标宋简体" w:cs="方正小标宋简体"/>
          <w:sz w:val="44"/>
          <w:szCs w:val="44"/>
          <w:lang w:eastAsia="zh-CN"/>
        </w:rPr>
        <w:t>》</w:t>
      </w: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政策解读</w:t>
      </w:r>
    </w:p>
    <w:bookmarkStart w:id="1" w:name="_GoBack"/>
    <w:bookmarkEnd w:id="1"/>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一、发布《</w:t>
      </w:r>
      <w:r>
        <w:rPr>
          <w:rFonts w:hint="eastAsia" w:ascii="黑体" w:hAnsi="黑体" w:eastAsia="黑体" w:cs="黑体"/>
          <w:sz w:val="32"/>
          <w:szCs w:val="32"/>
        </w:rPr>
        <w:t>国家药监局关于简化港澳已上市传统口服中成药内地上市注册审批的公告</w:t>
      </w:r>
      <w:r>
        <w:rPr>
          <w:rFonts w:hint="eastAsia" w:ascii="黑体" w:hAnsi="黑体" w:eastAsia="黑体" w:cs="黑体"/>
          <w:sz w:val="32"/>
          <w:szCs w:val="32"/>
          <w:lang w:val="en-US" w:eastAsia="zh-CN"/>
        </w:rPr>
        <w:t>》（以下简称《公告》）的背景和意义是什么？</w:t>
      </w: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为进一步</w:t>
      </w:r>
      <w:r>
        <w:rPr>
          <w:rFonts w:hint="default" w:ascii="Times New Roman" w:hAnsi="Times New Roman" w:eastAsia="仿宋_GB2312" w:cs="Times New Roman"/>
          <w:color w:val="000000"/>
          <w:sz w:val="32"/>
          <w:szCs w:val="32"/>
        </w:rPr>
        <w:t>推进粤港澳大湾区药品医疗器械监管创新发展，按照党中央、国务院决策部署，</w:t>
      </w:r>
      <w:r>
        <w:rPr>
          <w:rFonts w:hint="default" w:ascii="Times New Roman" w:hAnsi="Times New Roman" w:eastAsia="仿宋_GB2312" w:cs="Times New Roman"/>
          <w:sz w:val="32"/>
          <w:szCs w:val="32"/>
        </w:rPr>
        <w:t>2020年9月29日，经请示国务院同意，市场监管总局、国家药监局等八部门联合印发《粤港澳大湾区药品医疗器械监管创新发展工作方案》（国市监药〔2020〕159号），明确要求简化在港澳已上市传统外用中成药注册审批，具体由国家药监局委托广东省药监局实施审批。截至目前，共有15个品种通过该途径在内地获批上市。</w:t>
      </w:r>
    </w:p>
    <w:p>
      <w:pPr>
        <w:widowControl w:val="false"/>
        <w:spacing w:beforeLines="0" w:afterLines="0" w:line="560" w:lineRule="exact"/>
        <w:ind w:firstLine="640" w:firstLineChars="200"/>
        <w:outlineLvl w:val="9"/>
        <w:rPr>
          <w:rStyle w:val="5"/>
          <w:rFonts w:ascii="仿宋_GB2312" w:hAnsi="仿宋_GB2312" w:eastAsia="仿宋_GB2312" w:cs="仿宋_GB2312"/>
          <w:color w:val="000000"/>
          <w:sz w:val="32"/>
          <w:szCs w:val="32"/>
        </w:rPr>
      </w:pPr>
      <w:r>
        <w:rPr>
          <w:rFonts w:hint="default" w:eastAsia="仿宋_GB2312"/>
          <w:sz w:val="32"/>
          <w:szCs w:val="32"/>
          <w:lang w:val="en"/>
        </w:rPr>
        <w:t>在</w:t>
      </w:r>
      <w:r>
        <w:rPr>
          <w:rFonts w:eastAsia="仿宋_GB2312"/>
          <w:sz w:val="32"/>
          <w:szCs w:val="32"/>
          <w:lang w:val="en"/>
        </w:rPr>
        <w:t>上述政策实施</w:t>
      </w:r>
      <w:r>
        <w:rPr>
          <w:rFonts w:hint="default" w:eastAsia="仿宋_GB2312"/>
          <w:sz w:val="32"/>
          <w:szCs w:val="32"/>
          <w:lang w:val="en"/>
        </w:rPr>
        <w:t>取得成效的基础上，为</w:t>
      </w:r>
      <w:r>
        <w:rPr>
          <w:rFonts w:eastAsia="仿宋_GB2312"/>
          <w:sz w:val="32"/>
          <w:szCs w:val="32"/>
          <w:lang w:val="en"/>
        </w:rPr>
        <w:t>进一步支持港澳</w:t>
      </w:r>
      <w:r>
        <w:rPr>
          <w:rFonts w:hint="default" w:eastAsia="仿宋_GB2312"/>
          <w:sz w:val="32"/>
          <w:szCs w:val="32"/>
          <w:lang w:val="en-US" w:eastAsia="zh-CN"/>
        </w:rPr>
        <w:t>中医药事业</w:t>
      </w:r>
      <w:r>
        <w:rPr>
          <w:rFonts w:eastAsia="仿宋_GB2312"/>
          <w:sz w:val="32"/>
          <w:szCs w:val="32"/>
          <w:lang w:val="en"/>
        </w:rPr>
        <w:t>发展，</w:t>
      </w:r>
      <w:r>
        <w:rPr>
          <w:rFonts w:hint="default" w:eastAsia="仿宋_GB2312"/>
          <w:sz w:val="32"/>
          <w:szCs w:val="32"/>
          <w:lang w:val="en"/>
        </w:rPr>
        <w:t>国家药监局按照有关工作部署，组织深入研究论证，</w:t>
      </w:r>
      <w:r>
        <w:rPr>
          <w:rFonts w:hint="eastAsia" w:eastAsia="仿宋_GB2312"/>
          <w:sz w:val="32"/>
          <w:szCs w:val="32"/>
          <w:lang w:val="en" w:eastAsia="zh-CN"/>
        </w:rPr>
        <w:t>起草</w:t>
      </w:r>
      <w:r>
        <w:rPr>
          <w:rFonts w:eastAsia="仿宋_GB2312"/>
          <w:sz w:val="32"/>
          <w:szCs w:val="32"/>
          <w:lang w:val="en-US"/>
        </w:rPr>
        <w:t>《公告》</w:t>
      </w:r>
      <w:r>
        <w:rPr>
          <w:rFonts w:hint="default" w:eastAsia="仿宋_GB2312"/>
          <w:sz w:val="32"/>
          <w:szCs w:val="32"/>
          <w:lang w:val="en"/>
        </w:rPr>
        <w:t>，并广泛</w:t>
      </w:r>
      <w:r>
        <w:rPr>
          <w:rFonts w:eastAsia="仿宋_GB2312"/>
          <w:sz w:val="32"/>
          <w:szCs w:val="32"/>
          <w:lang w:val="en"/>
        </w:rPr>
        <w:t>征求意见。</w:t>
      </w:r>
      <w:r>
        <w:rPr>
          <w:rFonts w:eastAsia="仿宋_GB2312"/>
          <w:sz w:val="32"/>
          <w:szCs w:val="32"/>
          <w:lang w:val="en-US"/>
        </w:rPr>
        <w:t>《公告》的</w:t>
      </w:r>
      <w:r>
        <w:rPr>
          <w:rFonts w:hint="eastAsia" w:eastAsia="仿宋_GB2312"/>
          <w:sz w:val="32"/>
          <w:szCs w:val="32"/>
          <w:lang w:val="en-US" w:eastAsia="zh-CN"/>
        </w:rPr>
        <w:t>发布</w:t>
      </w:r>
      <w:r>
        <w:rPr>
          <w:rFonts w:eastAsia="仿宋_GB2312"/>
          <w:sz w:val="32"/>
          <w:szCs w:val="32"/>
          <w:lang w:val="en-US"/>
        </w:rPr>
        <w:t>，</w:t>
      </w:r>
      <w:r>
        <w:rPr>
          <w:rFonts w:hint="eastAsia" w:eastAsia="仿宋_GB2312"/>
          <w:sz w:val="32"/>
          <w:szCs w:val="32"/>
          <w:lang w:val="en-US" w:eastAsia="zh-CN"/>
        </w:rPr>
        <w:t>是落实</w:t>
      </w:r>
      <w:r>
        <w:rPr>
          <w:rFonts w:hint="eastAsia" w:eastAsia="仿宋_GB2312"/>
          <w:sz w:val="32"/>
          <w:szCs w:val="32"/>
          <w:lang w:val="en" w:eastAsia="zh-CN"/>
        </w:rPr>
        <w:t>《</w:t>
      </w:r>
      <w:r>
        <w:rPr>
          <w:rFonts w:hint="default" w:ascii="Times New Roman" w:hAnsi="Times New Roman" w:eastAsia="仿宋_GB2312" w:cs="Times New Roman"/>
          <w:b w:val="false"/>
          <w:bCs w:val="false"/>
          <w:i w:val="false"/>
          <w:iCs w:val="false"/>
          <w:caps w:val="false"/>
          <w:spacing w:val="0"/>
          <w:sz w:val="32"/>
          <w:szCs w:val="32"/>
          <w:shd w:val="clear" w:color="auto" w:fill="auto"/>
        </w:rPr>
        <w:t>国务院办公厅关于全面深化药品医疗器械监管改革促进医药产业高质量发展的意见</w:t>
      </w:r>
      <w:r>
        <w:rPr>
          <w:rFonts w:hint="eastAsia" w:eastAsia="仿宋_GB2312"/>
          <w:sz w:val="32"/>
          <w:szCs w:val="32"/>
          <w:lang w:val="en" w:eastAsia="zh-CN"/>
        </w:rPr>
        <w:t>》</w:t>
      </w:r>
      <w:r>
        <w:rPr>
          <w:rFonts w:hint="eastAsia" w:eastAsia="仿宋_GB2312"/>
          <w:sz w:val="32"/>
          <w:szCs w:val="32"/>
          <w:lang w:val="en-US" w:eastAsia="zh-CN"/>
        </w:rPr>
        <w:t>的重要举措</w:t>
      </w:r>
      <w:r>
        <w:rPr>
          <w:rFonts w:hint="eastAsia" w:eastAsia="仿宋_GB2312"/>
          <w:sz w:val="32"/>
          <w:szCs w:val="32"/>
          <w:lang w:val="en" w:eastAsia="zh-CN"/>
        </w:rPr>
        <w:t>，</w:t>
      </w:r>
      <w:r>
        <w:rPr>
          <w:rFonts w:eastAsia="仿宋_GB2312"/>
          <w:sz w:val="32"/>
          <w:szCs w:val="32"/>
          <w:lang w:val="en-US"/>
        </w:rPr>
        <w:t>有利于促进</w:t>
      </w:r>
      <w:r>
        <w:rPr>
          <w:rStyle w:val="000005"/>
          <w:rFonts w:hint="eastAsia" w:ascii="仿宋_GB2312" w:hAnsi="仿宋_GB2312" w:eastAsia="仿宋_GB2312" w:cs="仿宋_GB2312"/>
          <w:b w:val="false"/>
          <w:i w:val="false"/>
          <w:caps w:val="false"/>
          <w:color w:val="000000"/>
          <w:spacing w:val="0"/>
          <w:w w:val="100"/>
          <w:kern w:val="2"/>
          <w:sz w:val="32"/>
          <w:szCs w:val="32"/>
          <w:lang w:val="en-US" w:eastAsia="zh-CN" w:bidi="ar-SA"/>
        </w:rPr>
        <w:t>香港、澳门特区中医药事业发展，更好融入国家发展大局，</w:t>
      </w:r>
      <w:r>
        <w:rPr>
          <w:rStyle w:val="000005"/>
          <w:rFonts w:hint="eastAsia" w:ascii="仿宋_GB2312" w:hAnsi="仿宋_GB2312" w:eastAsia="仿宋_GB2312" w:cs="仿宋_GB2312"/>
          <w:color w:val="000000"/>
          <w:sz w:val="32"/>
          <w:szCs w:val="32"/>
        </w:rPr>
        <w:t>进一步彰显了国家对港澳中医药事业发展的关心、重视。</w:t>
      </w:r>
    </w:p>
    <w:p>
      <w:pPr>
        <w:widowControl/>
        <w:numPr>
          <w:ilvl w:val="0"/>
          <w:numId w:val="0"/>
        </w:numPr>
        <w:spacing w:beforeLines="0" w:afterLines="0" w:line="560" w:lineRule="exact"/>
        <w:ind w:firstLine="640" w:firstLineChars="200"/>
        <w:rPr>
          <w:rStyle w:val="5"/>
          <w:rFonts w:hint="eastAsia"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二、</w:t>
      </w:r>
      <w:r>
        <w:rPr>
          <w:rStyle w:val="000005"/>
          <w:rFonts w:hint="eastAsia" w:ascii="黑体" w:hAnsi="黑体" w:eastAsia="黑体" w:cs="黑体"/>
          <w:color w:val="000000"/>
          <w:sz w:val="32"/>
          <w:szCs w:val="32"/>
        </w:rPr>
        <w:t>《公告》主要有那些内容？</w:t>
      </w:r>
    </w:p>
    <w:p>
      <w:pPr>
        <w:widowControl/>
        <w:adjustRightInd w:val="false"/>
        <w:snapToGrid w:val="false"/>
        <w:spacing w:beforeLines="0" w:afterLines="0" w:line="560" w:lineRule="exact"/>
        <w:ind w:firstLine="640" w:firstLineChars="200"/>
        <w:outlineLvl w:val="1"/>
        <w:rPr>
          <w:rStyle w:val="5"/>
          <w:rFonts w:hint="default" w:ascii="Times New Roman" w:hAnsi="Times New Roman" w:eastAsia="仿宋_GB2312" w:cs="Times New Roman"/>
          <w:color w:val="000000"/>
          <w:sz w:val="32"/>
          <w:szCs w:val="32"/>
        </w:rPr>
      </w:pPr>
      <w:r>
        <w:rPr>
          <w:rStyle w:val="000005"/>
          <w:rFonts w:hint="default" w:ascii="Times New Roman" w:hAnsi="Times New Roman" w:eastAsia="仿宋_GB2312" w:cs="Times New Roman"/>
          <w:color w:val="000000"/>
          <w:sz w:val="32"/>
          <w:szCs w:val="32"/>
          <w:lang w:val="en-US"/>
        </w:rPr>
        <w:t>《公告》</w:t>
      </w:r>
      <w:r>
        <w:rPr>
          <w:rStyle w:val="000005"/>
          <w:rFonts w:hint="default" w:ascii="Times New Roman" w:hAnsi="Times New Roman" w:eastAsia="仿宋_GB2312" w:cs="Times New Roman"/>
          <w:color w:val="000000"/>
          <w:sz w:val="32"/>
          <w:szCs w:val="32"/>
        </w:rPr>
        <w:t>包括适用范围、职责分工、上市申请和申报资料要求、审评要求、上市后要求</w:t>
      </w:r>
      <w:r>
        <w:rPr>
          <w:rStyle w:val="000005"/>
          <w:rFonts w:hint="eastAsia" w:ascii="Times New Roman" w:hAnsi="Times New Roman" w:eastAsia="仿宋_GB2312" w:cs="Times New Roman"/>
          <w:color w:val="000000"/>
          <w:sz w:val="32"/>
          <w:szCs w:val="32"/>
        </w:rPr>
        <w:t>以</w:t>
      </w:r>
      <w:r>
        <w:rPr>
          <w:rStyle w:val="000005"/>
          <w:rFonts w:hint="default" w:ascii="Times New Roman" w:hAnsi="Times New Roman" w:eastAsia="仿宋_GB2312" w:cs="Times New Roman"/>
          <w:color w:val="000000"/>
          <w:sz w:val="32"/>
          <w:szCs w:val="32"/>
        </w:rPr>
        <w:t>及与其他文件的衔接</w:t>
      </w:r>
      <w:r>
        <w:rPr>
          <w:rStyle w:val="000005"/>
          <w:rFonts w:hint="eastAsia" w:ascii="Times New Roman" w:hAnsi="Times New Roman" w:eastAsia="仿宋_GB2312" w:cs="Times New Roman"/>
          <w:color w:val="000000"/>
          <w:sz w:val="32"/>
          <w:szCs w:val="32"/>
        </w:rPr>
        <w:t>等</w:t>
      </w:r>
      <w:r>
        <w:rPr>
          <w:rStyle w:val="000005"/>
          <w:rFonts w:hint="default" w:ascii="Times New Roman" w:hAnsi="Times New Roman" w:eastAsia="仿宋_GB2312" w:cs="Times New Roman"/>
          <w:color w:val="000000"/>
          <w:sz w:val="32"/>
          <w:szCs w:val="32"/>
          <w:lang w:val="en-US"/>
        </w:rPr>
        <w:t>内容</w:t>
      </w:r>
      <w:r>
        <w:rPr>
          <w:rStyle w:val="000005"/>
          <w:rFonts w:hint="default" w:ascii="Times New Roman" w:hAnsi="Times New Roman" w:eastAsia="仿宋_GB2312" w:cs="Times New Roman"/>
          <w:color w:val="000000"/>
          <w:sz w:val="32"/>
          <w:szCs w:val="32"/>
        </w:rPr>
        <w:t>。</w:t>
      </w:r>
    </w:p>
    <w:p>
      <w:pPr>
        <w:widowControl/>
        <w:adjustRightInd w:val="false"/>
        <w:snapToGrid w:val="false"/>
        <w:spacing w:beforeLines="0" w:afterLines="0" w:line="560" w:lineRule="exact"/>
        <w:ind w:firstLine="640" w:firstLineChars="200"/>
        <w:outlineLvl w:val="1"/>
        <w:rPr>
          <w:rFonts w:eastAsia="仿宋_GB2312"/>
          <w:color w:val="000000"/>
          <w:sz w:val="32"/>
          <w:szCs w:val="32"/>
          <w:lang w:val="en"/>
        </w:rPr>
      </w:pPr>
      <w:r>
        <w:rPr>
          <w:rStyle w:val="000005"/>
          <w:rFonts w:hint="eastAsia" w:ascii="Times New Roman" w:hAnsi="Times New Roman" w:eastAsia="仿宋_GB2312" w:cs="Times New Roman"/>
          <w:color w:val="000000"/>
          <w:sz w:val="32"/>
          <w:szCs w:val="32"/>
        </w:rPr>
        <w:t>一是品种</w:t>
      </w:r>
      <w:r>
        <w:rPr>
          <w:rFonts w:eastAsia="仿宋_GB2312"/>
          <w:sz w:val="32"/>
          <w:szCs w:val="32"/>
          <w:lang w:val="en"/>
        </w:rPr>
        <w:t>适用范围。综合考虑</w:t>
      </w:r>
      <w:r>
        <w:rPr>
          <w:rFonts w:hint="eastAsia" w:eastAsia="仿宋_GB2312"/>
          <w:sz w:val="32"/>
          <w:szCs w:val="32"/>
          <w:lang w:val="en" w:eastAsia="zh-CN"/>
        </w:rPr>
        <w:t>传统</w:t>
      </w:r>
      <w:r>
        <w:rPr>
          <w:rFonts w:eastAsia="仿宋_GB2312"/>
          <w:sz w:val="32"/>
          <w:szCs w:val="32"/>
          <w:lang w:val="en"/>
        </w:rPr>
        <w:t>口服中成药的用药风险以及实施简化后对整个中药注册管理制度的影响，</w:t>
      </w:r>
      <w:r>
        <w:rPr>
          <w:rFonts w:hint="eastAsia" w:eastAsia="仿宋_GB2312"/>
          <w:sz w:val="32"/>
          <w:szCs w:val="32"/>
          <w:lang w:val="en" w:eastAsia="zh-CN"/>
        </w:rPr>
        <w:t>对</w:t>
      </w:r>
      <w:r>
        <w:rPr>
          <w:rFonts w:eastAsia="仿宋_GB2312"/>
          <w:sz w:val="32"/>
          <w:szCs w:val="32"/>
          <w:lang w:val="en"/>
        </w:rPr>
        <w:t>适用品种</w:t>
      </w:r>
      <w:r>
        <w:rPr>
          <w:rFonts w:hint="eastAsia" w:eastAsia="仿宋_GB2312"/>
          <w:sz w:val="32"/>
          <w:szCs w:val="32"/>
          <w:lang w:val="en" w:eastAsia="zh-CN"/>
        </w:rPr>
        <w:t>进行</w:t>
      </w:r>
      <w:r>
        <w:rPr>
          <w:rFonts w:eastAsia="仿宋_GB2312"/>
          <w:sz w:val="32"/>
          <w:szCs w:val="32"/>
          <w:lang w:val="en"/>
        </w:rPr>
        <w:t>三方面</w:t>
      </w:r>
      <w:r>
        <w:rPr>
          <w:rFonts w:hint="eastAsia" w:eastAsia="仿宋_GB2312"/>
          <w:sz w:val="32"/>
          <w:szCs w:val="32"/>
          <w:lang w:val="en" w:eastAsia="zh-CN"/>
        </w:rPr>
        <w:t>的</w:t>
      </w:r>
      <w:r>
        <w:rPr>
          <w:rFonts w:eastAsia="仿宋_GB2312"/>
          <w:sz w:val="32"/>
          <w:szCs w:val="32"/>
          <w:lang w:val="en"/>
        </w:rPr>
        <w:t>限定</w:t>
      </w:r>
      <w:r>
        <w:rPr>
          <w:rFonts w:hint="eastAsia" w:eastAsia="仿宋_GB2312"/>
          <w:sz w:val="32"/>
          <w:szCs w:val="32"/>
          <w:lang w:val="en"/>
        </w:rPr>
        <w:t>：一是由</w:t>
      </w:r>
      <w:r>
        <w:rPr>
          <w:rFonts w:eastAsia="仿宋_GB2312"/>
          <w:sz w:val="32"/>
          <w:szCs w:val="32"/>
        </w:rPr>
        <w:t>香港、澳门特区</w:t>
      </w:r>
      <w:r>
        <w:rPr>
          <w:rFonts w:hint="eastAsia" w:eastAsia="仿宋_GB2312"/>
          <w:sz w:val="32"/>
          <w:szCs w:val="32"/>
          <w:lang w:eastAsia="zh-CN"/>
        </w:rPr>
        <w:t>本地</w:t>
      </w:r>
      <w:r>
        <w:rPr>
          <w:rFonts w:hint="eastAsia" w:eastAsia="仿宋_GB2312"/>
          <w:sz w:val="32"/>
          <w:szCs w:val="32"/>
          <w:lang w:val="en"/>
        </w:rPr>
        <w:t>登记的生产企业持有</w:t>
      </w:r>
      <w:r>
        <w:rPr>
          <w:rFonts w:hint="eastAsia" w:eastAsia="仿宋_GB2312"/>
          <w:sz w:val="32"/>
          <w:szCs w:val="32"/>
          <w:lang w:val="en" w:eastAsia="zh-CN"/>
        </w:rPr>
        <w:t>；</w:t>
      </w:r>
      <w:r>
        <w:rPr>
          <w:rFonts w:hint="eastAsia" w:eastAsia="仿宋_GB2312"/>
          <w:sz w:val="32"/>
          <w:szCs w:val="32"/>
          <w:lang w:val="en"/>
        </w:rPr>
        <w:t>二是经当地监管部门批准上市且在当地使用15年以上的</w:t>
      </w:r>
      <w:r>
        <w:rPr>
          <w:rFonts w:hint="eastAsia" w:eastAsia="仿宋_GB2312"/>
          <w:sz w:val="32"/>
          <w:szCs w:val="32"/>
          <w:lang w:val="en" w:eastAsia="zh-CN"/>
        </w:rPr>
        <w:t>传统</w:t>
      </w:r>
      <w:r>
        <w:rPr>
          <w:rFonts w:hint="eastAsia" w:eastAsia="仿宋_GB2312"/>
          <w:color w:val="000000"/>
          <w:sz w:val="32"/>
          <w:szCs w:val="32"/>
          <w:lang w:val="en"/>
        </w:rPr>
        <w:t>口服中成药</w:t>
      </w:r>
      <w:r>
        <w:rPr>
          <w:rFonts w:hint="eastAsia" w:eastAsia="仿宋_GB2312"/>
          <w:color w:val="000000"/>
          <w:sz w:val="32"/>
          <w:szCs w:val="32"/>
          <w:lang w:val="en" w:eastAsia="zh-CN"/>
        </w:rPr>
        <w:t>；</w:t>
      </w:r>
      <w:r>
        <w:rPr>
          <w:rFonts w:hint="eastAsia" w:eastAsia="仿宋_GB2312"/>
          <w:color w:val="000000"/>
          <w:sz w:val="32"/>
          <w:szCs w:val="32"/>
          <w:lang w:val="en"/>
        </w:rPr>
        <w:t>三是生产过程</w:t>
      </w:r>
      <w:r>
        <w:rPr>
          <w:rFonts w:hint="eastAsia" w:eastAsia="仿宋_GB2312"/>
          <w:color w:val="000000"/>
          <w:sz w:val="32"/>
          <w:szCs w:val="32"/>
          <w:lang w:val="en-US" w:eastAsia="zh-CN"/>
        </w:rPr>
        <w:t>应当</w:t>
      </w:r>
      <w:r>
        <w:rPr>
          <w:rFonts w:hint="eastAsia" w:eastAsia="仿宋_GB2312"/>
          <w:color w:val="000000"/>
          <w:sz w:val="32"/>
          <w:szCs w:val="32"/>
          <w:lang w:val="en"/>
        </w:rPr>
        <w:t>符合GMP要求</w:t>
      </w:r>
      <w:r>
        <w:rPr>
          <w:rFonts w:eastAsia="仿宋_GB2312"/>
          <w:color w:val="000000"/>
          <w:sz w:val="32"/>
          <w:szCs w:val="32"/>
          <w:lang w:val="en"/>
        </w:rPr>
        <w:t>。</w:t>
      </w:r>
    </w:p>
    <w:p>
      <w:pPr>
        <w:widowControl/>
        <w:adjustRightInd w:val="false"/>
        <w:snapToGrid w:val="false"/>
        <w:spacing w:beforeLines="0" w:afterLines="0" w:line="560" w:lineRule="exact"/>
        <w:ind w:firstLine="640" w:firstLineChars="200"/>
        <w:outlineLvl w:val="1"/>
        <w:rPr>
          <w:rFonts w:eastAsia="仿宋_GB2312"/>
          <w:sz w:val="32"/>
          <w:szCs w:val="32"/>
          <w:lang w:val="en"/>
        </w:rPr>
      </w:pPr>
      <w:r>
        <w:rPr>
          <w:rFonts w:eastAsia="仿宋_GB2312"/>
          <w:sz w:val="32"/>
          <w:szCs w:val="32"/>
          <w:lang w:val="en"/>
        </w:rPr>
        <w:t>二是职责分工。围绕</w:t>
      </w:r>
      <w:r>
        <w:rPr>
          <w:rFonts w:hint="eastAsia" w:eastAsia="仿宋_GB2312"/>
          <w:sz w:val="32"/>
          <w:szCs w:val="32"/>
          <w:lang w:val="en"/>
        </w:rPr>
        <w:t>简化</w:t>
      </w:r>
      <w:r>
        <w:rPr>
          <w:rFonts w:eastAsia="仿宋_GB2312"/>
          <w:sz w:val="32"/>
          <w:szCs w:val="32"/>
          <w:lang w:val="en"/>
        </w:rPr>
        <w:t>审评审批全流程涉及的受理、审评、审批、制</w:t>
      </w:r>
      <w:r>
        <w:rPr>
          <w:rFonts w:hint="eastAsia" w:eastAsia="仿宋_GB2312"/>
          <w:sz w:val="32"/>
          <w:szCs w:val="32"/>
          <w:lang w:val="en"/>
        </w:rPr>
        <w:t>证</w:t>
      </w:r>
      <w:r>
        <w:rPr>
          <w:rFonts w:eastAsia="仿宋_GB2312"/>
          <w:sz w:val="32"/>
          <w:szCs w:val="32"/>
          <w:lang w:val="en"/>
        </w:rPr>
        <w:t>送达</w:t>
      </w:r>
      <w:r>
        <w:rPr>
          <w:rFonts w:hint="eastAsia" w:eastAsia="仿宋_GB2312"/>
          <w:sz w:val="32"/>
          <w:szCs w:val="32"/>
          <w:lang w:val="en"/>
        </w:rPr>
        <w:t>依次明确相关单位，并明确了各单位基于已有系统完善相关功能。</w:t>
      </w:r>
      <w:r>
        <w:rPr>
          <w:rFonts w:eastAsia="仿宋_GB2312"/>
          <w:sz w:val="32"/>
          <w:szCs w:val="32"/>
          <w:lang w:val="en"/>
        </w:rPr>
        <w:t>同时，根据药品注册上市、再注册、补充申请等</w:t>
      </w:r>
      <w:r>
        <w:rPr>
          <w:rFonts w:hint="eastAsia" w:eastAsia="仿宋_GB2312"/>
          <w:sz w:val="32"/>
          <w:szCs w:val="32"/>
          <w:lang w:val="en" w:eastAsia="zh-CN"/>
        </w:rPr>
        <w:t>注册申请</w:t>
      </w:r>
      <w:r>
        <w:rPr>
          <w:rFonts w:eastAsia="仿宋_GB2312"/>
          <w:sz w:val="32"/>
          <w:szCs w:val="32"/>
          <w:lang w:val="en"/>
        </w:rPr>
        <w:t>类型明确了相应的单位。</w:t>
      </w:r>
    </w:p>
    <w:p>
      <w:pPr>
        <w:widowControl/>
        <w:adjustRightInd w:val="false"/>
        <w:snapToGrid w:val="false"/>
        <w:spacing w:beforeLines="0" w:afterLines="0" w:line="560" w:lineRule="exact"/>
        <w:ind w:firstLine="640" w:firstLineChars="200"/>
        <w:outlineLvl w:val="1"/>
        <w:rPr>
          <w:rFonts w:eastAsia="仿宋_GB2312"/>
          <w:sz w:val="32"/>
          <w:szCs w:val="32"/>
          <w:lang w:val="en"/>
        </w:rPr>
      </w:pPr>
      <w:r>
        <w:rPr>
          <w:rFonts w:eastAsia="仿宋_GB2312"/>
          <w:sz w:val="32"/>
          <w:szCs w:val="32"/>
          <w:lang w:val="en"/>
        </w:rPr>
        <w:t>三是上市申请和申报资料要求。</w:t>
      </w:r>
      <w:r>
        <w:rPr>
          <w:rFonts w:hint="eastAsia" w:eastAsia="仿宋_GB2312"/>
          <w:sz w:val="32"/>
          <w:szCs w:val="32"/>
          <w:lang w:val="en"/>
        </w:rPr>
        <w:t>明确</w:t>
      </w:r>
      <w:r>
        <w:rPr>
          <w:rFonts w:hint="eastAsia" w:eastAsia="仿宋_GB2312"/>
          <w:sz w:val="32"/>
          <w:szCs w:val="32"/>
          <w:lang w:val="en" w:eastAsia="zh-CN"/>
        </w:rPr>
        <w:t>申请人</w:t>
      </w:r>
      <w:r>
        <w:rPr>
          <w:rFonts w:eastAsia="仿宋_GB2312"/>
          <w:sz w:val="32"/>
          <w:szCs w:val="32"/>
        </w:rPr>
        <w:t>可</w:t>
      </w:r>
      <w:r>
        <w:rPr>
          <w:rFonts w:hint="eastAsia" w:eastAsia="仿宋_GB2312"/>
          <w:sz w:val="32"/>
          <w:szCs w:val="32"/>
          <w:lang w:eastAsia="zh-CN"/>
        </w:rPr>
        <w:t>根据有关规定直接</w:t>
      </w:r>
      <w:r>
        <w:rPr>
          <w:rFonts w:eastAsia="仿宋_GB2312"/>
          <w:sz w:val="32"/>
          <w:szCs w:val="32"/>
        </w:rPr>
        <w:t>提出上市许可申请</w:t>
      </w:r>
      <w:r>
        <w:rPr>
          <w:rFonts w:hint="eastAsia" w:eastAsia="仿宋_GB2312"/>
          <w:sz w:val="32"/>
          <w:szCs w:val="32"/>
          <w:lang w:eastAsia="zh-CN"/>
        </w:rPr>
        <w:t>。</w:t>
      </w:r>
      <w:r>
        <w:rPr>
          <w:rFonts w:eastAsia="仿宋_GB2312"/>
          <w:sz w:val="32"/>
          <w:szCs w:val="32"/>
          <w:lang w:val="en"/>
        </w:rPr>
        <w:t>对现有的申报资料要求进行了简化。</w:t>
      </w:r>
    </w:p>
    <w:p>
      <w:pPr>
        <w:widowControl/>
        <w:adjustRightInd w:val="false"/>
        <w:snapToGrid w:val="false"/>
        <w:spacing w:beforeLines="0" w:afterLines="0" w:line="560" w:lineRule="exact"/>
        <w:ind w:firstLine="640" w:firstLineChars="200"/>
        <w:outlineLvl w:val="1"/>
        <w:rPr>
          <w:rFonts w:hint="default" w:eastAsia="仿宋_GB2312"/>
          <w:color w:val="000000"/>
          <w:sz w:val="32"/>
          <w:szCs w:val="32"/>
          <w:lang w:val="en-US"/>
        </w:rPr>
      </w:pPr>
      <w:r>
        <w:rPr>
          <w:rFonts w:eastAsia="仿宋_GB2312"/>
          <w:sz w:val="32"/>
          <w:szCs w:val="32"/>
          <w:lang w:val="en"/>
        </w:rPr>
        <w:t>四是审评要求。将技术审评时限</w:t>
      </w:r>
      <w:r>
        <w:rPr>
          <w:rFonts w:hint="eastAsia" w:eastAsia="仿宋_GB2312"/>
          <w:sz w:val="32"/>
          <w:szCs w:val="32"/>
          <w:lang w:val="en" w:eastAsia="zh-CN"/>
        </w:rPr>
        <w:t>由</w:t>
      </w:r>
      <w:r>
        <w:rPr>
          <w:rFonts w:hint="eastAsia" w:eastAsia="仿宋_GB2312"/>
          <w:sz w:val="32"/>
          <w:szCs w:val="32"/>
          <w:lang w:val="en-US" w:eastAsia="zh-CN"/>
        </w:rPr>
        <w:t>200日</w:t>
      </w:r>
      <w:r>
        <w:rPr>
          <w:rFonts w:eastAsia="仿宋_GB2312"/>
          <w:sz w:val="32"/>
          <w:szCs w:val="32"/>
        </w:rPr>
        <w:t>缩短为80日。</w:t>
      </w:r>
      <w:r>
        <w:rPr>
          <w:rFonts w:eastAsia="仿宋_GB2312"/>
          <w:color w:val="000000"/>
          <w:sz w:val="32"/>
          <w:szCs w:val="32"/>
        </w:rPr>
        <w:t>经审评，认为获益大于风险的，将结合品种情况，在药品注册证书审批结论中明确申请人在下次再注册申请前需完成的上市后研究和评价工作。对未按期完成的，将不予再注册。</w:t>
      </w:r>
      <w:r>
        <w:rPr>
          <w:rFonts w:hint="default" w:eastAsia="仿宋_GB2312"/>
          <w:color w:val="000000"/>
          <w:sz w:val="32"/>
          <w:szCs w:val="32"/>
          <w:lang w:val="en-US"/>
        </w:rPr>
        <w:t xml:space="preserve"> </w:t>
      </w:r>
    </w:p>
    <w:p>
      <w:pPr>
        <w:keepNext w:val="false"/>
        <w:keepLines w:val="false"/>
        <w:pageBreakBefore w:val="false"/>
        <w:widowControl/>
        <w:kinsoku/>
        <w:wordWrap/>
        <w:overflowPunct/>
        <w:topLinePunct w:val="false"/>
        <w:autoSpaceDE/>
        <w:autoSpaceDN/>
        <w:bidi w:val="false"/>
        <w:adjustRightInd w:val="false"/>
        <w:snapToGrid w:val="false"/>
        <w:spacing w:beforeLines="0" w:afterLines="0" w:line="560" w:lineRule="exact"/>
        <w:ind w:firstLine="640" w:firstLineChars="200"/>
        <w:jc w:val="both"/>
        <w:textAlignment w:val="auto"/>
        <w:outlineLvl w:val="1"/>
        <w:rPr>
          <w:rFonts w:hint="default" w:eastAsia="仿宋_GB2312" w:cs="Times New Roman"/>
          <w:color w:val="auto"/>
          <w:sz w:val="32"/>
          <w:szCs w:val="32"/>
          <w:lang w:val="en-US" w:eastAsia="zh-CN"/>
        </w:rPr>
      </w:pPr>
      <w:r>
        <w:rPr>
          <w:rFonts w:hint="eastAsia" w:eastAsia="仿宋_GB2312"/>
          <w:color w:val="000000"/>
          <w:sz w:val="32"/>
          <w:szCs w:val="32"/>
          <w:lang w:eastAsia="zh-CN"/>
        </w:rPr>
        <w:t>五是上市后要求。强调</w:t>
      </w:r>
      <w:r>
        <w:rPr>
          <w:rFonts w:hint="default" w:ascii="Times New Roman" w:hAnsi="Times New Roman" w:eastAsia="仿宋_GB2312" w:cs="Times New Roman"/>
          <w:color w:val="auto"/>
          <w:sz w:val="32"/>
          <w:szCs w:val="32"/>
          <w:lang w:eastAsia="zh-CN"/>
        </w:rPr>
        <w:t>药品上市许可持有人应当严格落实主体责任，</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lang w:eastAsia="zh-CN"/>
        </w:rPr>
        <w:t>相关省级药监局应当落实属地</w:t>
      </w:r>
      <w:r>
        <w:rPr>
          <w:rFonts w:hint="eastAsia" w:ascii="Times New Roman" w:hAnsi="Times New Roman" w:eastAsia="仿宋_GB2312" w:cs="Times New Roman"/>
          <w:color w:val="auto"/>
          <w:sz w:val="32"/>
          <w:szCs w:val="32"/>
          <w:lang w:eastAsia="zh-CN"/>
        </w:rPr>
        <w:t>监管责任。</w:t>
      </w:r>
      <w:r>
        <w:rPr>
          <w:rFonts w:hint="default" w:eastAsia="仿宋_GB2312" w:cs="Times New Roman"/>
          <w:color w:val="auto"/>
          <w:sz w:val="32"/>
          <w:szCs w:val="32"/>
          <w:lang w:val="en-US" w:eastAsia="zh-CN"/>
        </w:rPr>
        <w:t xml:space="preserve"> </w:t>
      </w:r>
    </w:p>
    <w:p>
      <w:pPr>
        <w:keepNext w:val="false"/>
        <w:keepLines w:val="false"/>
        <w:pageBreakBefore w:val="false"/>
        <w:widowControl/>
        <w:kinsoku/>
        <w:wordWrap/>
        <w:overflowPunct/>
        <w:topLinePunct w:val="false"/>
        <w:autoSpaceDE/>
        <w:autoSpaceDN/>
        <w:bidi w:val="false"/>
        <w:adjustRightInd w:val="false"/>
        <w:snapToGrid w:val="false"/>
        <w:spacing w:beforeLines="0" w:afterLines="0" w:line="560" w:lineRule="exact"/>
        <w:ind w:firstLine="640" w:firstLineChars="200"/>
        <w:jc w:val="both"/>
        <w:textAlignment w:val="auto"/>
        <w:outlineLvl w:val="1"/>
        <w:rPr>
          <w:rFonts w:hint="eastAsia" w:eastAsia="仿宋_GB2312"/>
          <w:sz w:val="32"/>
          <w:szCs w:val="32"/>
          <w:lang w:val="en" w:eastAsia="zh-CN"/>
        </w:rPr>
      </w:pPr>
      <w:r>
        <w:rPr>
          <w:rFonts w:hint="eastAsia" w:eastAsia="仿宋_GB2312" w:cs="Times New Roman"/>
          <w:color w:val="auto"/>
          <w:sz w:val="32"/>
          <w:szCs w:val="32"/>
          <w:lang w:val="en-US" w:eastAsia="zh-CN"/>
        </w:rPr>
        <w:t>六是</w:t>
      </w:r>
      <w:r>
        <w:rPr>
          <w:rFonts w:hint="default" w:eastAsia="仿宋_GB2312" w:cs="Times New Roman"/>
          <w:color w:val="auto"/>
          <w:sz w:val="32"/>
          <w:szCs w:val="32"/>
          <w:lang w:val="en-US" w:eastAsia="zh-CN"/>
        </w:rPr>
        <w:t>与其他文件的衔接。强调了涉及需要委托生产的，按照国家药监局《支持港澳药品上市许可持有人在大湾区内地9市生产药品实施方案》的有关规定办理。</w:t>
      </w:r>
    </w:p>
    <w:p>
      <w:pPr>
        <w:widowControl/>
        <w:numPr>
          <w:ilvl w:val="0"/>
          <w:numId w:val="0"/>
        </w:numPr>
        <w:spacing w:beforeLines="0" w:afterLines="0" w:line="560" w:lineRule="exact"/>
        <w:ind w:firstLine="640" w:firstLineChars="200"/>
        <w:rPr>
          <w:rStyle w:val="5"/>
          <w:rFonts w:hint="eastAsia" w:ascii="黑体" w:hAnsi="黑体" w:eastAsia="黑体" w:cs="黑体"/>
        </w:rPr>
      </w:pPr>
      <w:r>
        <w:rPr>
          <w:rFonts w:hint="eastAsia" w:ascii="黑体" w:hAnsi="黑体" w:eastAsia="黑体" w:cs="黑体"/>
          <w:kern w:val="2"/>
          <w:sz w:val="32"/>
          <w:szCs w:val="24"/>
          <w:lang w:val="en-US" w:eastAsia="zh-CN" w:bidi="ar-SA"/>
        </w:rPr>
        <w:t>三、</w:t>
      </w:r>
      <w:r>
        <w:rPr>
          <w:rStyle w:val="000005"/>
          <w:rFonts w:hint="eastAsia" w:ascii="黑体" w:hAnsi="黑体" w:eastAsia="黑体" w:cs="黑体"/>
        </w:rPr>
        <w:t>适用范围为何限定在生产企业持有和</w:t>
      </w:r>
      <w:r>
        <w:rPr>
          <w:rStyle w:val="000005"/>
          <w:rFonts w:hint="default" w:ascii="Times New Roman" w:hAnsi="Times New Roman" w:eastAsia="黑体" w:cs="Times New Roman"/>
        </w:rPr>
        <w:t>已上市</w:t>
      </w:r>
      <w:r>
        <w:rPr>
          <w:rStyle w:val="000005"/>
          <w:rFonts w:hint="default" w:ascii="Times New Roman" w:hAnsi="Times New Roman" w:eastAsia="黑体" w:cs="Times New Roman"/>
          <w:lang w:val="en-US"/>
        </w:rPr>
        <w:t>15</w:t>
      </w:r>
      <w:r>
        <w:rPr>
          <w:rStyle w:val="000005"/>
          <w:rFonts w:hint="eastAsia" w:ascii="黑体" w:hAnsi="黑体" w:eastAsia="黑体" w:cs="黑体"/>
          <w:lang w:val="en-US"/>
        </w:rPr>
        <w:t>年的品种</w:t>
      </w:r>
      <w:r>
        <w:rPr>
          <w:rStyle w:val="000005"/>
          <w:rFonts w:hint="eastAsia" w:ascii="黑体" w:hAnsi="黑体" w:eastAsia="黑体" w:cs="黑体"/>
        </w:rPr>
        <w:t>？</w:t>
      </w:r>
    </w:p>
    <w:p>
      <w:pPr>
        <w:widowControl/>
        <w:numPr>
          <w:ilvl w:val="0"/>
          <w:numId w:val="0"/>
        </w:numPr>
        <w:spacing w:beforeLines="0" w:afterLines="0" w:line="560" w:lineRule="exact"/>
        <w:ind w:firstLine="640" w:firstLineChars="200"/>
        <w:rPr>
          <w:rStyle w:val="5"/>
          <w:rFonts w:hint="default" w:ascii="黑体" w:hAnsi="黑体" w:eastAsia="黑体" w:cs="黑体"/>
          <w:lang w:val="en-US"/>
        </w:rPr>
      </w:pPr>
      <w:r>
        <w:rPr>
          <w:rStyle w:val="000005"/>
          <w:rFonts w:hint="eastAsia" w:ascii="Times New Roman" w:hAnsi="Times New Roman" w:eastAsia="仿宋_GB2312" w:cs="Times New Roman"/>
          <w:b w:val="false"/>
          <w:i w:val="false"/>
          <w:caps w:val="false"/>
          <w:color w:val="000000"/>
          <w:spacing w:val="0"/>
          <w:w w:val="100"/>
          <w:szCs w:val="32"/>
          <w:lang w:val="en-US" w:eastAsia="zh-CN"/>
        </w:rPr>
        <w:t>在</w:t>
      </w:r>
      <w:r>
        <w:rPr>
          <w:rFonts w:eastAsia="仿宋_GB2312"/>
          <w:sz w:val="32"/>
          <w:szCs w:val="32"/>
          <w:lang w:val="en"/>
        </w:rPr>
        <w:t>综合考虑</w:t>
      </w:r>
      <w:r>
        <w:rPr>
          <w:rFonts w:hint="eastAsia" w:eastAsia="仿宋_GB2312"/>
          <w:sz w:val="32"/>
          <w:szCs w:val="32"/>
          <w:lang w:val="en" w:eastAsia="zh-CN"/>
        </w:rPr>
        <w:t>传统</w:t>
      </w:r>
      <w:r>
        <w:rPr>
          <w:rFonts w:eastAsia="仿宋_GB2312"/>
          <w:sz w:val="32"/>
          <w:szCs w:val="32"/>
          <w:lang w:val="en"/>
        </w:rPr>
        <w:t>口服中成药的用药风险</w:t>
      </w:r>
      <w:r>
        <w:rPr>
          <w:rFonts w:hint="eastAsia" w:eastAsia="仿宋_GB2312"/>
          <w:sz w:val="32"/>
          <w:szCs w:val="32"/>
          <w:lang w:val="en" w:eastAsia="zh-CN"/>
        </w:rPr>
        <w:t>的前提下</w:t>
      </w:r>
      <w:r>
        <w:rPr>
          <w:rStyle w:val="000005"/>
          <w:rFonts w:hint="default" w:ascii="Times New Roman" w:hAnsi="Times New Roman" w:eastAsia="仿宋_GB2312" w:cs="Times New Roman"/>
          <w:b w:val="false"/>
          <w:i w:val="false"/>
          <w:caps w:val="false"/>
          <w:color w:val="000000"/>
          <w:spacing w:val="0"/>
          <w:w w:val="100"/>
          <w:szCs w:val="32"/>
          <w:lang w:val="en-US" w:eastAsia="zh-CN"/>
        </w:rPr>
        <w:t>，</w:t>
      </w:r>
      <w:r>
        <w:rPr>
          <w:rStyle w:val="000005"/>
          <w:rFonts w:hint="default" w:ascii="Times New Roman" w:hAnsi="Times New Roman" w:eastAsia="仿宋_GB2312" w:cs="Times New Roman"/>
          <w:color w:val="000000"/>
          <w:szCs w:val="32"/>
        </w:rPr>
        <w:t>并参考国际上其他国家和地区关于简化传统草药审批上市的人用历史规定</w:t>
      </w:r>
      <w:r>
        <w:rPr>
          <w:rStyle w:val="000005"/>
          <w:rFonts w:hint="eastAsia" w:ascii="Times New Roman" w:hAnsi="Times New Roman" w:eastAsia="仿宋_GB2312" w:cs="Times New Roman"/>
          <w:color w:val="000000"/>
          <w:szCs w:val="32"/>
        </w:rPr>
        <w:t>，</w:t>
      </w:r>
      <w:r>
        <w:rPr>
          <w:rStyle w:val="000005"/>
          <w:rFonts w:hint="default" w:ascii="Times New Roman" w:hAnsi="Times New Roman" w:eastAsia="仿宋_GB2312" w:cs="Times New Roman"/>
          <w:b w:val="false"/>
          <w:i w:val="false"/>
          <w:caps w:val="false"/>
          <w:color w:val="000000"/>
          <w:spacing w:val="0"/>
          <w:w w:val="100"/>
          <w:szCs w:val="32"/>
          <w:lang w:val="en-US" w:eastAsia="zh-CN"/>
        </w:rPr>
        <w:t>将政策红利精准释放给港澳企业</w:t>
      </w:r>
      <w:r>
        <w:rPr>
          <w:rStyle w:val="000005"/>
          <w:rFonts w:hint="eastAsia" w:ascii="Times New Roman" w:hAnsi="Times New Roman" w:eastAsia="仿宋_GB2312" w:cs="Times New Roman"/>
          <w:b w:val="false"/>
          <w:i w:val="false"/>
          <w:caps w:val="false"/>
          <w:color w:val="000000"/>
          <w:spacing w:val="0"/>
          <w:w w:val="100"/>
          <w:szCs w:val="32"/>
          <w:lang w:val="en-US" w:eastAsia="zh-CN"/>
        </w:rPr>
        <w:t>，鼓励港澳本土生产的好药在内地上市，</w:t>
      </w:r>
      <w:r>
        <w:rPr>
          <w:rFonts w:eastAsia="仿宋_GB2312"/>
          <w:sz w:val="32"/>
          <w:szCs w:val="32"/>
          <w:lang w:val="en-US"/>
        </w:rPr>
        <w:t>促进</w:t>
      </w:r>
      <w:r>
        <w:rPr>
          <w:rStyle w:val="000005"/>
          <w:rFonts w:hint="eastAsia" w:ascii="仿宋_GB2312" w:hAnsi="仿宋_GB2312" w:eastAsia="仿宋_GB2312" w:cs="仿宋_GB2312"/>
          <w:b w:val="false"/>
          <w:i w:val="false"/>
          <w:caps w:val="false"/>
          <w:color w:val="000000"/>
          <w:spacing w:val="0"/>
          <w:w w:val="100"/>
          <w:kern w:val="2"/>
          <w:sz w:val="32"/>
          <w:szCs w:val="32"/>
          <w:lang w:val="en-US" w:eastAsia="zh-CN" w:bidi="ar-SA"/>
        </w:rPr>
        <w:t>香港、澳门特区中医药事业发展，更好融入国家发展大局。</w:t>
      </w:r>
    </w:p>
    <w:p>
      <w:pPr>
        <w:widowControl/>
        <w:numPr>
          <w:ilvl w:val="0"/>
          <w:numId w:val="0"/>
        </w:numPr>
        <w:spacing w:beforeLines="0" w:afterLines="0" w:line="560" w:lineRule="exact"/>
        <w:ind w:firstLine="640" w:firstLineChars="200"/>
        <w:rPr>
          <w:rStyle w:val="5"/>
          <w:rFonts w:hint="eastAsia" w:ascii="黑体" w:hAnsi="黑体" w:eastAsia="黑体" w:cs="黑体"/>
        </w:rPr>
      </w:pPr>
      <w:r>
        <w:rPr>
          <w:rFonts w:hint="eastAsia" w:ascii="黑体" w:hAnsi="黑体" w:eastAsia="黑体" w:cs="黑体"/>
          <w:kern w:val="2"/>
          <w:sz w:val="32"/>
          <w:szCs w:val="24"/>
          <w:lang w:val="en-US" w:eastAsia="zh-CN" w:bidi="ar-SA"/>
        </w:rPr>
        <w:t>四、</w:t>
      </w:r>
      <w:r>
        <w:rPr>
          <w:rStyle w:val="000005"/>
          <w:rFonts w:ascii="黑体" w:hAnsi="黑体" w:eastAsia="黑体" w:cs="黑体"/>
          <w:color w:val="000000"/>
        </w:rPr>
        <w:t>如何申报</w:t>
      </w:r>
      <w:r>
        <w:rPr>
          <w:rStyle w:val="000005"/>
          <w:rFonts w:hint="eastAsia" w:ascii="黑体" w:hAnsi="黑体" w:eastAsia="黑体" w:cs="黑体"/>
          <w:bCs/>
          <w:color w:val="000000"/>
          <w:kern w:val="0"/>
          <w:sz w:val="32"/>
          <w:szCs w:val="32"/>
        </w:rPr>
        <w:t>上市</w:t>
      </w:r>
      <w:r>
        <w:rPr>
          <w:rStyle w:val="000005"/>
          <w:rFonts w:hint="eastAsia" w:ascii="黑体" w:hAnsi="黑体" w:eastAsia="黑体" w:cs="黑体"/>
          <w:color w:val="000000"/>
        </w:rPr>
        <w:t>许可</w:t>
      </w:r>
      <w:r>
        <w:rPr>
          <w:rStyle w:val="000005"/>
          <w:rFonts w:hint="eastAsia" w:ascii="黑体" w:hAnsi="黑体" w:eastAsia="黑体" w:cs="黑体"/>
          <w:bCs/>
          <w:color w:val="000000"/>
          <w:kern w:val="0"/>
          <w:sz w:val="32"/>
          <w:szCs w:val="32"/>
        </w:rPr>
        <w:t>申请</w:t>
      </w:r>
      <w:r>
        <w:rPr>
          <w:rStyle w:val="000005"/>
          <w:rFonts w:ascii="黑体" w:hAnsi="黑体" w:eastAsia="黑体" w:cs="黑体"/>
          <w:color w:val="000000"/>
        </w:rPr>
        <w:t>？</w:t>
      </w:r>
    </w:p>
    <w:p>
      <w:pPr>
        <w:pStyle w:val="000002"/>
        <w:numPr>
          <w:ilvl w:val="0"/>
          <w:numId w:val="0"/>
        </w:numPr>
        <w:spacing w:before="0" w:beforeLines="0" w:beforeAutospacing="false" w:after="0" w:afterLines="0" w:afterAutospacing="false" w:line="560" w:lineRule="exact"/>
        <w:ind w:firstLine="640" w:firstLineChars="200"/>
        <w:jc w:val="both"/>
        <w:rPr>
          <w:rFonts w:hint="default"/>
          <w:lang w:val="en-US"/>
        </w:rPr>
      </w:pPr>
      <w:r>
        <w:rPr>
          <w:rStyle w:val="000005"/>
          <w:rFonts w:hint="eastAsia" w:ascii="仿宋_GB2312" w:hAnsi="仿宋_GB2312" w:eastAsia="仿宋_GB2312" w:cs="仿宋_GB2312"/>
          <w:b w:val="false"/>
          <w:color w:val="000000"/>
          <w:sz w:val="32"/>
          <w:szCs w:val="32"/>
        </w:rPr>
        <w:t>申请人按照《药品注册管理办法》“境外申请人应当指定中国境内的企业法人办理相关药品注册事项”的规定办理相关药品注册事项。符合《公告》规定情形的品种，可不再提出临床试验申请，直接提出上市许可申请，按照简化注册审批的资料要求提交申报资料。其原在香港、澳门特区上市注册时提交的试验研究资料可作为相应的申报资料。申请人可根据品种情况，提供其已上市使用</w:t>
      </w:r>
      <w:r>
        <w:rPr>
          <w:rStyle w:val="000005"/>
          <w:rFonts w:hint="default" w:ascii="Times New Roman" w:hAnsi="Times New Roman" w:eastAsia="仿宋_GB2312" w:cs="Times New Roman"/>
          <w:b w:val="false"/>
          <w:color w:val="000000"/>
          <w:sz w:val="32"/>
          <w:szCs w:val="32"/>
        </w:rPr>
        <w:t>15</w:t>
      </w:r>
      <w:r>
        <w:rPr>
          <w:rStyle w:val="000005"/>
          <w:rFonts w:hint="eastAsia" w:ascii="仿宋_GB2312" w:hAnsi="仿宋_GB2312" w:eastAsia="仿宋_GB2312" w:cs="仿宋_GB2312"/>
          <w:b w:val="false"/>
          <w:color w:val="000000"/>
          <w:sz w:val="32"/>
          <w:szCs w:val="32"/>
        </w:rPr>
        <w:t>年的人用经验总结资料。</w:t>
      </w:r>
    </w:p>
    <w:p>
      <w:pPr>
        <w:widowControl w:val="false"/>
        <w:numPr>
          <w:ilvl w:val="0"/>
          <w:numId w:val="0"/>
        </w:numPr>
        <w:spacing w:beforeLines="0" w:afterLines="0" w:line="560" w:lineRule="exact"/>
        <w:ind w:firstLine="640" w:firstLineChars="200"/>
        <w:outlineLvl w:val="9"/>
        <w:rPr>
          <w:rStyle w:val="5"/>
          <w:rFonts w:hint="eastAsia" w:ascii="黑体" w:hAnsi="黑体" w:eastAsia="黑体" w:cs="黑体"/>
          <w:color w:val="000000"/>
          <w:sz w:val="32"/>
          <w:szCs w:val="24"/>
          <w:lang w:val="en-US"/>
        </w:rPr>
      </w:pPr>
      <w:r>
        <w:rPr>
          <w:rStyle w:val="000005"/>
          <w:rFonts w:hint="eastAsia" w:ascii="黑体" w:hAnsi="黑体" w:eastAsia="黑体" w:cs="黑体"/>
          <w:color w:val="000000"/>
          <w:sz w:val="32"/>
          <w:szCs w:val="24"/>
          <w:lang w:val="en-US"/>
        </w:rPr>
        <w:t>五、传统口服中成药获批上市后，药品上市许可持有人如何严格落实主体责任？相关省级药监局如何落实属地监管责任？</w:t>
      </w:r>
    </w:p>
    <w:p>
      <w:pPr>
        <w:widowControl w:val="false"/>
        <w:numPr>
          <w:ilvl w:val="0"/>
          <w:numId w:val="0"/>
        </w:numPr>
        <w:spacing w:beforeLines="0" w:afterLines="0" w:line="560" w:lineRule="exact"/>
        <w:ind w:firstLine="640" w:firstLineChars="200"/>
        <w:outlineLvl w:val="9"/>
        <w:rPr>
          <w:rStyle w:val="5"/>
          <w:rFonts w:hint="eastAsia" w:ascii="仿宋_GB2312" w:hAnsi="仿宋_GB2312" w:eastAsia="仿宋_GB2312" w:cs="仿宋_GB2312"/>
          <w:color w:val="000000"/>
          <w:sz w:val="32"/>
          <w:szCs w:val="24"/>
          <w:lang w:val="en-US"/>
        </w:rPr>
      </w:pPr>
      <w:r>
        <w:rPr>
          <w:rStyle w:val="000005"/>
          <w:rFonts w:hint="eastAsia" w:ascii="仿宋_GB2312" w:hAnsi="仿宋_GB2312" w:eastAsia="仿宋_GB2312" w:cs="仿宋_GB2312"/>
          <w:color w:val="000000"/>
          <w:sz w:val="32"/>
          <w:szCs w:val="24"/>
          <w:lang w:val="en-US"/>
        </w:rPr>
        <w:t>港澳药品上市许可持有人应当依法对其持有药品注册证书的药品上市后生产、经营、使用全过程的安全性、有效性和质量可控性负责，</w:t>
      </w:r>
      <w:r>
        <w:rPr>
          <w:rStyle w:val="000005"/>
          <w:rFonts w:ascii="仿宋_GB2312" w:hAnsi="仿宋_GB2312" w:eastAsia="仿宋_GB2312" w:cs="仿宋_GB2312"/>
          <w:color w:val="000000"/>
          <w:sz w:val="32"/>
        </w:rPr>
        <w:t>执行《境外药品上市许可持有人指定境内责任人管理暂行规定》有关要求</w:t>
      </w:r>
      <w:r>
        <w:rPr>
          <w:rStyle w:val="000005"/>
          <w:rFonts w:hint="eastAsia" w:ascii="仿宋_GB2312" w:hAnsi="仿宋_GB2312" w:eastAsia="仿宋_GB2312" w:cs="仿宋_GB2312"/>
          <w:color w:val="000000"/>
          <w:sz w:val="32"/>
          <w:szCs w:val="24"/>
          <w:lang w:val="en-US"/>
        </w:rPr>
        <w:t>，落实药品上市后质量管理主体责任。同时，港澳药品上市许可持有人应当制定药品内地上市后评价和风险管理计划，在规定期限内按照要求完成相关上市后评价工作，并主动开展药品上市后研究，对药品的安全性、有效性和质量可控性进行进一步确证，加强对已上市药品的持续管理。</w:t>
      </w:r>
    </w:p>
    <w:p>
      <w:pPr>
        <w:widowControl w:val="false"/>
        <w:numPr>
          <w:ilvl w:val="0"/>
          <w:numId w:val="0"/>
        </w:numPr>
        <w:spacing w:beforeLines="0" w:afterLines="0" w:line="560" w:lineRule="exact"/>
        <w:ind w:firstLine="640" w:firstLineChars="200"/>
        <w:outlineLvl w:val="9"/>
        <w:rPr>
          <w:rStyle w:val="5"/>
          <w:rFonts w:hint="eastAsia" w:ascii="仿宋_GB2312" w:hAnsi="仿宋_GB2312" w:eastAsia="仿宋_GB2312" w:cs="仿宋_GB2312"/>
          <w:color w:val="000000"/>
          <w:sz w:val="32"/>
          <w:szCs w:val="24"/>
          <w:lang w:val="en-US"/>
        </w:rPr>
      </w:pPr>
      <w:r>
        <w:rPr>
          <w:rFonts w:hint="eastAsia" w:ascii="仿宋_GB2312" w:hAnsi="仿宋_GB2312" w:eastAsia="仿宋_GB2312" w:cs="仿宋_GB2312"/>
          <w:sz w:val="32"/>
          <w:szCs w:val="32"/>
        </w:rPr>
        <w:t>相关省级药监局负责本行政区域内已上市港澳传统口服中成药和境内责任人的监督管理工作</w:t>
      </w:r>
      <w:r>
        <w:rPr>
          <w:rStyle w:val="000005"/>
          <w:rFonts w:hint="eastAsia" w:ascii="仿宋_GB2312" w:hAnsi="仿宋_GB2312" w:eastAsia="仿宋_GB2312" w:cs="仿宋_GB2312"/>
          <w:color w:val="000000"/>
          <w:sz w:val="32"/>
          <w:szCs w:val="24"/>
          <w:lang w:val="en-US"/>
        </w:rPr>
        <w:t>，根据监督管理的需要，可以对药品质量进行抽查检验。涉及港澳药品跨境大湾区内地生产的，由广东省药监局按照国家药监局《支持港澳药品上市许可持有人在大湾区内地</w:t>
      </w:r>
      <w:r>
        <w:rPr>
          <w:rStyle w:val="000005"/>
          <w:rFonts w:hint="default" w:ascii="Times New Roman" w:hAnsi="Times New Roman" w:eastAsia="仿宋_GB2312" w:cs="Times New Roman"/>
          <w:color w:val="000000"/>
          <w:sz w:val="32"/>
          <w:szCs w:val="24"/>
          <w:lang w:val="en-US"/>
        </w:rPr>
        <w:t>9</w:t>
      </w:r>
      <w:r>
        <w:rPr>
          <w:rStyle w:val="000005"/>
          <w:rFonts w:hint="eastAsia" w:ascii="仿宋_GB2312" w:hAnsi="仿宋_GB2312" w:eastAsia="仿宋_GB2312" w:cs="仿宋_GB2312"/>
          <w:color w:val="000000"/>
          <w:sz w:val="32"/>
          <w:szCs w:val="24"/>
          <w:lang w:val="en-US"/>
        </w:rPr>
        <w:t>市生产药品实施方案》有关规定落实药品生产属地监管责任，必要时可以联合</w:t>
      </w:r>
      <w:r>
        <w:rPr>
          <w:rFonts w:eastAsia="仿宋_GB2312"/>
          <w:sz w:val="32"/>
          <w:szCs w:val="32"/>
        </w:rPr>
        <w:t>香港、澳门特区</w:t>
      </w:r>
      <w:r>
        <w:rPr>
          <w:rStyle w:val="000005"/>
          <w:rFonts w:hint="eastAsia" w:ascii="仿宋_GB2312" w:hAnsi="仿宋_GB2312" w:eastAsia="仿宋_GB2312" w:cs="仿宋_GB2312"/>
          <w:color w:val="000000"/>
          <w:sz w:val="32"/>
          <w:szCs w:val="24"/>
          <w:lang w:val="en-US"/>
        </w:rPr>
        <w:t>药品监管部门开展对港澳药品上市许可持有人的检查。</w:t>
      </w:r>
    </w:p>
    <w:p>
      <w:pPr>
        <w:widowControl/>
        <w:numPr>
          <w:ilvl w:val="0"/>
          <w:numId w:val="0"/>
        </w:numPr>
        <w:spacing w:beforeLines="0" w:afterLines="0" w:line="560" w:lineRule="exact"/>
        <w:ind w:firstLine="640" w:firstLineChars="200"/>
        <w:rPr>
          <w:rStyle w:val="5"/>
          <w:rFonts w:hint="default" w:ascii="Times New Roman" w:hAnsi="Times New Roman" w:eastAsia="黑体" w:cs="Times New Roman"/>
          <w:color w:val="000000"/>
          <w:sz w:val="32"/>
          <w:szCs w:val="32"/>
          <w:lang w:val="en-US"/>
        </w:rPr>
      </w:pPr>
      <w:r>
        <w:rPr>
          <w:rFonts w:hint="eastAsia" w:eastAsia="黑体" w:cs="Times New Roman"/>
          <w:color w:val="000000"/>
          <w:kern w:val="2"/>
          <w:sz w:val="32"/>
          <w:szCs w:val="32"/>
          <w:lang w:val="en-US" w:eastAsia="zh-CN" w:bidi="ar-SA"/>
        </w:rPr>
        <w:t>六</w:t>
      </w:r>
      <w:r>
        <w:rPr>
          <w:rFonts w:hint="eastAsia" w:ascii="Times New Roman" w:hAnsi="Times New Roman" w:eastAsia="黑体" w:cs="Times New Roman"/>
          <w:color w:val="000000"/>
          <w:kern w:val="2"/>
          <w:sz w:val="32"/>
          <w:szCs w:val="32"/>
          <w:lang w:val="en-US" w:eastAsia="zh-CN" w:bidi="ar-SA"/>
        </w:rPr>
        <w:t>、</w:t>
      </w:r>
      <w:r>
        <w:rPr>
          <w:rStyle w:val="000005"/>
          <w:rFonts w:hint="eastAsia" w:ascii="Times New Roman" w:hAnsi="Times New Roman" w:eastAsia="黑体" w:cs="Times New Roman"/>
          <w:color w:val="000000"/>
          <w:sz w:val="32"/>
          <w:szCs w:val="32"/>
          <w:lang w:val="en-US"/>
        </w:rPr>
        <w:t>如何理解符合</w:t>
      </w:r>
      <w:r>
        <w:rPr>
          <w:rStyle w:val="000005"/>
          <w:rFonts w:hint="default" w:ascii="Times New Roman" w:hAnsi="Times New Roman" w:eastAsia="黑体" w:cs="Times New Roman"/>
          <w:color w:val="000000"/>
          <w:sz w:val="32"/>
          <w:szCs w:val="24"/>
          <w:lang w:val="en-US"/>
        </w:rPr>
        <w:t>GMP</w:t>
      </w:r>
      <w:r>
        <w:rPr>
          <w:rStyle w:val="000005"/>
          <w:rFonts w:hint="eastAsia" w:ascii="Times New Roman" w:hAnsi="Times New Roman" w:eastAsia="黑体" w:cs="Times New Roman"/>
          <w:color w:val="000000"/>
          <w:sz w:val="32"/>
          <w:szCs w:val="32"/>
          <w:lang w:val="en-US"/>
        </w:rPr>
        <w:t>要求？</w:t>
      </w:r>
    </w:p>
    <w:p>
      <w:pPr>
        <w:keepNext w:val="false"/>
        <w:keepLines w:val="false"/>
        <w:pageBreakBefore w:val="false"/>
        <w:widowControl w:val="false"/>
        <w:kinsoku/>
        <w:wordWrap/>
        <w:overflowPunct/>
        <w:topLinePunct w:val="false"/>
        <w:autoSpaceDE/>
        <w:autoSpaceDN/>
        <w:bidi w:val="false"/>
        <w:adjustRightInd/>
        <w:snapToGrid/>
        <w:spacing w:beforeLines="0" w:afterLines="0" w:line="560" w:lineRule="exact"/>
        <w:ind w:firstLine="640" w:firstLineChars="200"/>
        <w:jc w:val="both"/>
        <w:textAlignment w:val="auto"/>
        <w:outlineLvl w:val="9"/>
        <w:rPr>
          <w:rStyle w:val="5"/>
          <w:rFonts w:hint="default" w:ascii="Times New Roman" w:hAnsi="Times New Roman" w:eastAsia="仿宋_GB2312" w:cs="Times New Roman"/>
          <w:color w:val="000000"/>
          <w:sz w:val="32"/>
          <w:szCs w:val="32"/>
          <w:lang w:val="en-US" w:eastAsia="zh-CN"/>
        </w:rPr>
      </w:pPr>
      <w:r>
        <w:rPr>
          <w:rStyle w:val="000005"/>
          <w:rFonts w:hint="eastAsia" w:ascii="仿宋_GB2312" w:hAnsi="仿宋_GB2312" w:eastAsia="仿宋_GB2312" w:cs="仿宋_GB2312"/>
          <w:color w:val="000000"/>
          <w:sz w:val="32"/>
          <w:szCs w:val="32"/>
          <w:lang w:val="en-US" w:eastAsia="zh-CN"/>
        </w:rPr>
        <w:t>《公告》</w:t>
      </w:r>
      <w:r>
        <w:rPr>
          <w:rStyle w:val="000005"/>
          <w:rFonts w:hint="eastAsia" w:ascii="仿宋_GB2312" w:hAnsi="仿宋_GB2312" w:eastAsia="仿宋_GB2312" w:cs="仿宋_GB2312"/>
          <w:color w:val="000000"/>
        </w:rPr>
        <w:t>要求生产过程应当符合药品生产质量管理规范（</w:t>
      </w:r>
      <w:r>
        <w:rPr>
          <w:rStyle w:val="000005"/>
          <w:rFonts w:hint="default" w:ascii="Times New Roman" w:hAnsi="Times New Roman" w:eastAsia="仿宋_GB2312" w:cs="Times New Roman"/>
          <w:color w:val="000000"/>
          <w:lang w:val="en-US"/>
        </w:rPr>
        <w:t>GMP</w:t>
      </w:r>
      <w:r>
        <w:rPr>
          <w:rStyle w:val="000005"/>
          <w:rFonts w:hint="eastAsia" w:ascii="仿宋_GB2312" w:hAnsi="仿宋_GB2312" w:eastAsia="仿宋_GB2312" w:cs="仿宋_GB2312"/>
          <w:color w:val="000000"/>
        </w:rPr>
        <w:t>）要求，</w:t>
      </w:r>
      <w:r>
        <w:rPr>
          <w:rStyle w:val="000005"/>
          <w:rFonts w:hint="eastAsia" w:ascii="Times New Roman" w:hAnsi="Times New Roman" w:eastAsia="仿宋_GB2312" w:cs="Times New Roman"/>
          <w:color w:val="000000"/>
        </w:rPr>
        <w:t>不仅限于内地的</w:t>
      </w:r>
      <w:r>
        <w:rPr>
          <w:rStyle w:val="000005"/>
          <w:rFonts w:hint="eastAsia" w:ascii="Times New Roman" w:hAnsi="Times New Roman" w:eastAsia="仿宋_GB2312" w:cs="Times New Roman"/>
          <w:color w:val="000000"/>
          <w:lang w:val="en-US"/>
        </w:rPr>
        <w:t>GMP要求，也</w:t>
      </w:r>
      <w:r>
        <w:rPr>
          <w:rStyle w:val="000005"/>
          <w:rFonts w:hint="default" w:ascii="Times New Roman" w:hAnsi="Times New Roman" w:eastAsia="仿宋_GB2312" w:cs="Times New Roman"/>
          <w:color w:val="000000"/>
          <w:sz w:val="32"/>
          <w:szCs w:val="32"/>
          <w:lang w:eastAsia="zh-CN"/>
        </w:rPr>
        <w:t>包括</w:t>
      </w:r>
      <w:r>
        <w:rPr>
          <w:rStyle w:val="000005"/>
          <w:rFonts w:hint="eastAsia" w:eastAsia="仿宋_GB2312" w:cs="Times New Roman"/>
          <w:color w:val="000000"/>
          <w:sz w:val="32"/>
          <w:szCs w:val="32"/>
          <w:lang w:eastAsia="zh-CN"/>
        </w:rPr>
        <w:t>符合</w:t>
      </w:r>
      <w:r>
        <w:rPr>
          <w:rStyle w:val="000005"/>
          <w:rFonts w:hint="eastAsia" w:eastAsia="仿宋_GB2312" w:cs="Times New Roman"/>
          <w:color w:val="000000"/>
          <w:sz w:val="32"/>
          <w:szCs w:val="32"/>
          <w:lang w:val="en-US" w:eastAsia="zh-CN"/>
        </w:rPr>
        <w:t>WHO要求或者</w:t>
      </w:r>
      <w:r>
        <w:rPr>
          <w:rStyle w:val="000005"/>
          <w:rFonts w:hint="default" w:ascii="Times New Roman" w:hAnsi="Times New Roman" w:eastAsia="仿宋_GB2312" w:cs="Times New Roman"/>
          <w:color w:val="000000"/>
          <w:sz w:val="32"/>
          <w:szCs w:val="32"/>
          <w:lang w:eastAsia="zh-CN"/>
        </w:rPr>
        <w:t>经香港、澳门特区</w:t>
      </w:r>
      <w:r>
        <w:rPr>
          <w:rStyle w:val="000005"/>
          <w:rFonts w:hint="eastAsia" w:ascii="Times New Roman" w:hAnsi="Times New Roman" w:eastAsia="仿宋_GB2312" w:cs="Times New Roman"/>
          <w:color w:val="000000"/>
          <w:sz w:val="32"/>
          <w:szCs w:val="32"/>
          <w:lang w:eastAsia="zh-CN"/>
        </w:rPr>
        <w:t>药品</w:t>
      </w:r>
      <w:r>
        <w:rPr>
          <w:rStyle w:val="000005"/>
          <w:rFonts w:hint="default" w:ascii="Times New Roman" w:hAnsi="Times New Roman" w:eastAsia="仿宋_GB2312" w:cs="Times New Roman"/>
          <w:color w:val="000000"/>
          <w:sz w:val="32"/>
          <w:szCs w:val="32"/>
          <w:lang w:eastAsia="zh-CN"/>
        </w:rPr>
        <w:t>监管部门认可的</w:t>
      </w:r>
      <w:r>
        <w:rPr>
          <w:rStyle w:val="000005"/>
          <w:rFonts w:hint="default" w:ascii="Times New Roman" w:hAnsi="Times New Roman" w:eastAsia="仿宋_GB2312" w:cs="Times New Roman"/>
          <w:color w:val="000000"/>
          <w:sz w:val="32"/>
          <w:szCs w:val="32"/>
          <w:lang w:val="en-US" w:eastAsia="zh-CN"/>
        </w:rPr>
        <w:t>GMP</w:t>
      </w:r>
      <w:r>
        <w:rPr>
          <w:rStyle w:val="000005"/>
          <w:rFonts w:hint="eastAsia" w:eastAsia="仿宋_GB2312" w:cs="Times New Roman"/>
          <w:color w:val="000000"/>
          <w:sz w:val="32"/>
          <w:szCs w:val="32"/>
          <w:lang w:val="en-US" w:eastAsia="zh-CN"/>
        </w:rPr>
        <w:t>要求</w:t>
      </w:r>
      <w:r>
        <w:rPr>
          <w:rStyle w:val="000005"/>
          <w:rFonts w:hint="eastAsia" w:ascii="Times New Roman" w:hAnsi="Times New Roman" w:eastAsia="仿宋_GB2312" w:cs="Times New Roman"/>
          <w:color w:val="000000"/>
          <w:lang w:val="en-US"/>
        </w:rPr>
        <w:t>。</w:t>
      </w:r>
    </w:p>
    <w:p>
      <w:pP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4002EFF" w:usb1="C000247B" w:usb2="00000009" w:usb3="00000000" w:csb0="200001FF" w:csb1="00000000"/>
  </w:font>
  <w:font w:name="Wingdings">
    <w:panose1 w:val="05000000000000000000"/>
    <w:charset w:val="02" w:characterSet="ISO-8859-1"/>
    <w:family w:val="auto"/>
    <w:pitch w:val="default"/>
    <w:sig w:usb0="00000000" w:usb1="00000000" w:usb2="00000000" w:usb3="00000000" w:csb0="80000000" w:csb1="00000000"/>
  </w:font>
  <w:font w:name="宋体">
    <w:panose1 w:val="02010600030101010101"/>
    <w:charset w:val="86" w:characterSet="ISO-8859-1"/>
    <w:family w:val="auto"/>
    <w:pitch w:val="default"/>
    <w:sig w:usb0="00000203" w:usb1="288F0000" w:usb2="00000006" w:usb3="00000000" w:csb0="00040001" w:csb1="00000000"/>
  </w:font>
  <w:font w:name="华文仿宋">
    <w:panose1 w:val="02010600040101010101"/>
    <w:charset w:val="86" w:characterSet="ISO-8859-1"/>
    <w:family w:val="auto"/>
    <w:pitch w:val="default"/>
    <w:sig w:usb0="00000287" w:usb1="080F0000" w:usb2="00000000" w:usb3="00000000" w:csb0="0004009F" w:csb1="DFD70000"/>
  </w:font>
  <w:font w:name="仿宋">
    <w:panose1 w:val="02010609060101010101"/>
    <w:charset w:val="86" w:characterSet="ISO-8859-1"/>
    <w:family w:val="modern"/>
    <w:pitch w:val="default"/>
    <w:sig w:usb0="800002BF" w:usb1="38CF7CFA" w:usb2="0000001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方正小标宋简体">
    <w:panose1 w:val="03000509000000000000"/>
    <w:charset w:val="86" w:characterSet="ISO-8859-1"/>
    <w:family w:val="auto"/>
    <w:pitch w:val="default"/>
    <w:sig w:usb0="00000001" w:usb1="080E0000" w:usb2="00000000" w:usb3="00000000" w:csb0="00040000" w:csb1="00000000"/>
  </w:font>
  <w:font w:name="Symbol">
    <w:panose1 w:val="05050102010706020507"/>
    <w:charset w:val="02" w:characterSet="ISO-8859-1"/>
    <w:family w:val="roman"/>
    <w:pitch w:val="default"/>
    <w:sig w:usb0="00000000" w:usb1="00000000" w:usb2="00000000" w:usb3="00000000" w:csb0="80000000" w:csb1="00000000"/>
  </w:font>
  <w:font w:name="仿宋_GB2312">
    <w:panose1 w:val="02010609030101010101"/>
    <w:charset w:val="86" w:characterSet="ISO-8859-1"/>
    <w:family w:val="modern"/>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Times New Roman">
    <w:panose1 w:val="02020603050405020304"/>
    <w:charset w:val="00" w:characterSet="ISO-8859-1"/>
    <w:family w:val="roman"/>
    <w:pitch w:val="variable"/>
    <w:sig w:usb0="20007A87" w:usb1="80000000" w:usb2="00000008" w:usb3="00000000" w:csb0="000001FF" w:csb1="00000000"/>
  </w:font>
  <w:font w:name="Courier New">
    <w:panose1 w:val="02070309020205020404"/>
    <w:charset w:val="01" w:characterSet="ISO-8859-1"/>
    <w:family w:val="modern"/>
    <w:pitch w:val="default"/>
    <w:sig w:usb0="E0002EFF" w:usb1="C0007843" w:usb2="00000009" w:usb3="00000000" w:csb0="400001FF" w:csb1="FFFF0000"/>
  </w:font>
</w:fonts>
</file>

<file path=word/settings.xml><?xml version="1.0" encoding="utf-8"?>
<w:settings xmlns:w="http://schemas.openxmlformats.org/wordprocessingml/2006/main">
  <w:zoom w:percent="83"/>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enableOpenTypeFeatures" w:uri="http://schemas.microsoft.com/office/word" w:val="1"/>
  </w:compat>
  <w:rsids>
    <w:rsidRoot w:val="2E80499A"/>
    <w:rsid w:val="2E8049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pPrDefault>
  </w:docDefaults>
  <w:latentStyles w:defLockedState="false" w:defUIPriority="99" w:defSemiHidden="true" w:defUnhideWhenUsed="true" w:defQFormat="false" w:count="260">
    <w:lsdException w:name="header" w:uiPriority="0" w:semiHidden="false" w:unhideWhenUsed="false"/>
    <w:lsdException w:name="Medium List 2 Accent 2" w:uiPriority="66" w:semiHidden="false" w:unhideWhenUsed="false"/>
    <w:lsdException w:name="Table Columns 2" w:uiPriority="0" w:semiHidden="false" w:unhideWhenUsed="false"/>
    <w:lsdException w:name="List Continue 2" w:uiPriority="0" w:semiHidden="false" w:unhideWhenUsed="false"/>
    <w:lsdException w:name="Medium Grid 3 Accent 1" w:uiPriority="69" w:semiHidden="false" w:unhideWhenUsed="false"/>
    <w:lsdException w:name="envelope address" w:uiPriority="0" w:semiHidden="false" w:unhideWhenUsed="false"/>
    <w:lsdException w:name="index 8" w:uiPriority="0" w:semiHidden="false" w:unhideWhenUsed="false"/>
    <w:lsdException w:name="Table Subtle 1" w:uiPriority="0" w:semiHidden="false" w:unhideWhenUsed="false"/>
    <w:lsdException w:name="heading 2" w:uiPriority="0" w:semiHidden="false" w:qFormat="true"/>
    <w:lsdException w:name="E-mail Signature" w:uiPriority="0" w:semiHidden="false" w:unhideWhenUsed="false"/>
    <w:lsdException w:name="Normal Table" w:uiPriority="0" w:unhideWhenUsed="false"/>
    <w:lsdException w:name="List 3" w:uiPriority="0" w:semiHidden="false" w:unhideWhenUsed="false"/>
    <w:lsdException w:name="Light Grid Accent 2" w:uiPriority="62" w:semiHidden="false" w:unhideWhenUsed="false"/>
    <w:lsdException w:name="Medium Grid 2 Accent 5" w:uiPriority="68" w:semiHidden="false" w:unhideWhenUsed="false"/>
    <w:lsdException w:name="Dark List Accent 6" w:uiPriority="70" w:semiHidden="false" w:unhideWhenUsed="false"/>
    <w:lsdException w:name="footnote reference" w:uiPriority="0" w:semiHidden="false" w:unhideWhenUsed="false"/>
    <w:lsdException w:name="toc 1" w:uiPriority="0" w:semiHidden="false" w:unhideWhenUsed="false"/>
    <w:lsdException w:name="page number" w:uiPriority="0" w:semiHidden="false" w:unhideWhenUsed="false"/>
    <w:lsdException w:name="Light Shading Accent 5" w:uiPriority="60" w:semiHidden="false" w:unhideWhenUsed="false"/>
    <w:lsdException w:name="Table Grid 5" w:uiPriority="0" w:semiHidden="false" w:unhideWhenUsed="false"/>
    <w:lsdException w:name="Medium Shading 2 Accent 4" w:uiPriority="64" w:semiHidden="false" w:unhideWhenUsed="false"/>
    <w:lsdException w:name="Medium Grid 1 Accent 2" w:uiPriority="67" w:semiHidden="false" w:unhideWhenUsed="false"/>
    <w:lsdException w:name="Table List 5" w:uiPriority="0" w:semiHidden="false" w:unhideWhenUsed="false"/>
    <w:lsdException w:name="index 7" w:uiPriority="0" w:semiHidden="false" w:unhideWhenUsed="false"/>
    <w:lsdException w:name="envelope return" w:uiPriority="0" w:semiHidden="false" w:unhideWhenUsed="false"/>
    <w:lsdException w:name="Table 3D effects 3" w:uiPriority="0" w:semiHidden="false" w:unhideWhenUsed="false"/>
    <w:lsdException w:name="Medium Grid 2 Accent 6" w:uiPriority="68" w:semiHidden="false" w:unhideWhenUsed="false"/>
    <w:lsdException w:name="Message Header" w:uiPriority="0" w:semiHidden="false" w:unhideWhenUsed="false"/>
    <w:lsdException w:name="Dark List Accent 5" w:uiPriority="70" w:semiHidden="false" w:unhideWhenUsed="false"/>
    <w:lsdException w:name="Table Columns 3" w:uiPriority="0" w:semiHidden="false" w:unhideWhenUsed="false"/>
    <w:lsdException w:name="Medium List 2 Accent 3" w:uiPriority="66" w:semiHidden="false" w:unhideWhenUsed="false"/>
    <w:lsdException w:name="line number" w:uiPriority="0" w:semiHidden="false" w:unhideWhenUsed="false"/>
    <w:lsdException w:name="Medium Shading 1" w:uiPriority="63" w:semiHidden="false" w:unhideWhenUsed="false"/>
    <w:lsdException w:name="List Continue 3" w:uiPriority="0" w:semiHidden="false" w:unhideWhenUsed="false"/>
    <w:lsdException w:name="heading 5" w:uiPriority="0" w:qFormat="true"/>
    <w:lsdException w:name="Hyperlink" w:uiPriority="0" w:semiHidden="false" w:unhideWhenUsed="false"/>
    <w:lsdException w:name="List 2" w:uiPriority="0" w:semiHidden="false" w:unhideWhenUsed="false"/>
    <w:lsdException w:name="Colorful Shading Accent 5" w:uiPriority="71" w:semiHidden="false" w:unhideWhenUsed="false"/>
    <w:lsdException w:name="Table Elegant" w:uiPriority="0" w:semiHidden="false" w:unhideWhenUsed="false"/>
    <w:lsdException w:name="Medium Grid 1 Accent 5" w:uiPriority="67" w:semiHidden="false" w:unhideWhenUsed="false"/>
    <w:lsdException w:name="Colorful Shading" w:uiPriority="71" w:semiHidden="false" w:unhideWhenUsed="false"/>
    <w:lsdException w:name="Light List" w:uiPriority="61" w:semiHidden="false" w:unhideWhenUsed="false"/>
    <w:lsdException w:name="Light Grid" w:uiPriority="62" w:semiHidden="false" w:unhideWhenUsed="false"/>
    <w:lsdException w:name="Medium List 1 Accent 3" w:uiPriority="65" w:semiHidden="false" w:unhideWhenUsed="false"/>
    <w:lsdException w:name="HTML Address" w:uiPriority="0" w:semiHidden="false" w:unhideWhenUsed="false"/>
    <w:lsdException w:name="Colorful List Accent 1" w:uiPriority="72" w:semiHidden="false" w:unhideWhenUsed="false"/>
    <w:lsdException w:name="Signature" w:uiPriority="0" w:semiHidden="false" w:unhideWhenUsed="false"/>
    <w:lsdException w:name="Light Shading Accent 4" w:uiPriority="60" w:semiHidden="false" w:unhideWhenUsed="false"/>
    <w:lsdException w:name="Body Text First Indent" w:uiPriority="0" w:semiHidden="false" w:unhideWhenUsed="false"/>
    <w:lsdException w:name="Medium Shading 1 Accent 6" w:uiPriority="63" w:semiHidden="false" w:unhideWhenUsed="false"/>
    <w:lsdException w:name="Table Grid 4" w:uiPriority="0" w:semiHidden="false" w:unhideWhenUsed="false"/>
    <w:lsdException w:name="Note Heading" w:uiPriority="0" w:semiHidden="false" w:unhideWhenUsed="false"/>
    <w:lsdException w:name="Medium Shading 2 Accent 5" w:uiPriority="64" w:semiHidden="false" w:unhideWhenUsed="false"/>
    <w:lsdException w:name="Colorful Grid Accent 1" w:uiPriority="73" w:semiHidden="false" w:unhideWhenUsed="false"/>
    <w:lsdException w:name="List Continue 4" w:uiPriority="0" w:semiHidden="false" w:unhideWhenUsed="false"/>
    <w:lsdException w:name="index 6" w:uiPriority="0" w:semiHidden="false" w:unhideWhenUsed="false"/>
    <w:lsdException w:name="Table List 4" w:uiPriority="0" w:semiHidden="false" w:unhideWhenUsed="false"/>
    <w:lsdException w:name="annotation reference" w:uiPriority="0" w:semiHidden="false" w:unhideWhenUsed="false"/>
    <w:lsdException w:name="Table Professional" w:uiPriority="0" w:semiHidden="false" w:unhideWhenUsed="false"/>
    <w:lsdException w:name="heading 4" w:uiPriority="0" w:qFormat="true"/>
    <w:lsdException w:name="Medium Shading 1 Accent 5" w:uiPriority="63" w:semiHidden="false" w:unhideWhenUsed="false"/>
    <w:lsdException w:name="Plain Text" w:uiPriority="0" w:semiHidden="false" w:unhideWhenUsed="false"/>
    <w:lsdException w:name="HTML Typewriter" w:uiPriority="0" w:semiHidden="false" w:unhideWhenUsed="false"/>
    <w:lsdException w:name="Table Simple 3" w:uiPriority="0" w:semiHidden="false" w:unhideWhenUsed="false"/>
    <w:lsdException w:name="Dark List Accent 4" w:uiPriority="70" w:semiHidden="false" w:unhideWhenUsed="false"/>
    <w:lsdException w:name="Body Text First Indent 2" w:uiPriority="0" w:semiHidden="false" w:unhideWhenUsed="false"/>
    <w:lsdException w:name="toc 3" w:uiPriority="0" w:semiHidden="false" w:unhideWhenUsed="false"/>
    <w:lsdException w:name="HTML Preformatted" w:uiPriority="0" w:semiHidden="false" w:unhideWhenUsed="false"/>
    <w:lsdException w:name="Light Grid Accent 5" w:uiPriority="62" w:semiHidden="false" w:unhideWhenUsed="false"/>
    <w:lsdException w:name="Table Grid 7" w:uiPriority="0" w:semiHidden="false" w:unhideWhenUsed="false"/>
    <w:lsdException w:name="Medium Shading 2 Accent 2" w:uiPriority="64" w:semiHidden="false" w:unhideWhenUsed="false"/>
    <w:lsdException w:name="Colorful Shading Accent 4" w:uiPriority="71" w:semiHidden="false" w:unhideWhenUsed="false"/>
    <w:lsdException w:name="Medium Grid 1 Accent 4" w:uiPriority="67" w:semiHidden="false" w:unhideWhenUsed="false"/>
    <w:lsdException w:name="index 5" w:uiPriority="0" w:semiHidden="false" w:unhideWhenUsed="false"/>
    <w:lsdException w:name="Table List 7" w:uiPriority="0" w:semiHidden="false" w:unhideWhenUsed="false"/>
    <w:lsdException w:name="Document Map" w:uiPriority="0" w:semiHidden="false" w:unhideWhenUsed="false"/>
    <w:lsdException w:name="Medium List 1 Accent 2" w:uiPriority="65" w:semiHidden="false" w:unhideWhenUsed="false"/>
    <w:lsdException w:name="Medium Grid 1" w:uiPriority="67" w:semiHidden="false" w:unhideWhenUsed="false"/>
    <w:lsdException w:name="List Bullet 5" w:uiPriority="0" w:semiHidden="false" w:unhideWhenUsed="false"/>
    <w:lsdException w:name="Table 3D effects 1" w:uiPriority="0" w:semiHidden="false" w:unhideWhenUsed="false"/>
    <w:lsdException w:name="Table Columns 1" w:uiPriority="0" w:semiHidden="false" w:unhideWhenUsed="false"/>
    <w:lsdException w:name="Medium Grid 3 Accent 6" w:uiPriority="69" w:semiHidden="false" w:unhideWhenUsed="false"/>
    <w:lsdException w:name="List Continue 5" w:uiPriority="0" w:semiHidden="false" w:unhideWhenUsed="false"/>
    <w:lsdException w:name="heading 7" w:uiPriority="0" w:qFormat="true"/>
    <w:lsdException w:name="HTML Cite" w:uiPriority="0" w:semiHidden="false" w:unhideWhenUsed="false"/>
    <w:lsdException w:name="Table Grid" w:uiPriority="0" w:semiHidden="false" w:unhideWhenUsed="false"/>
    <w:lsdException w:name="Medium Shading 1 Accent 4" w:uiPriority="63" w:semiHidden="false" w:unhideWhenUsed="false"/>
    <w:lsdException w:name="Body Text Indent 2" w:uiPriority="0" w:semiHidden="false" w:unhideWhenUsed="false"/>
    <w:lsdException w:name="List Number 2" w:uiPriority="0" w:semiHidden="false" w:unhideWhenUsed="false"/>
    <w:lsdException w:name="Table Simple 2" w:uiPriority="0" w:semiHidden="false" w:unhideWhenUsed="false"/>
    <w:lsdException w:name="Table List 8" w:uiPriority="0" w:semiHidden="false" w:unhideWhenUsed="false"/>
    <w:lsdException w:name="Colorful List Accent 3" w:uiPriority="72" w:semiHidden="false" w:unhideWhenUsed="false"/>
    <w:lsdException w:name="Table Web 1" w:uiPriority="0" w:semiHidden="false" w:unhideWhenUsed="false"/>
    <w:lsdException w:name="toc 2" w:uiPriority="0" w:semiHidden="false" w:unhideWhenUsed="false"/>
    <w:lsdException w:name="Light Shading Accent 6" w:uiPriority="60" w:semiHidden="false" w:unhideWhenUsed="false"/>
    <w:lsdException w:name="Light Grid Accent 4" w:uiPriority="62" w:semiHidden="false" w:unhideWhenUsed="false"/>
    <w:lsdException w:name="endnote reference" w:uiPriority="0" w:semiHidden="false" w:unhideWhenUsed="false"/>
    <w:lsdException w:name="Medium List 2 Accent 4" w:uiPriority="66" w:semiHidden="false" w:unhideWhenUsed="false"/>
    <w:lsdException w:name="Table Grid 6" w:uiPriority="0" w:semiHidden="false" w:unhideWhenUsed="false"/>
    <w:lsdException w:name="Medium Shading 2 Accent 3" w:uiPriority="64" w:semiHidden="false" w:unhideWhenUsed="false"/>
    <w:lsdException w:name="Colorful Grid Accent 3" w:uiPriority="73" w:semiHidden="false" w:unhideWhenUsed="false"/>
    <w:lsdException w:name="index 4" w:uiPriority="0" w:semiHidden="false" w:unhideWhenUsed="false"/>
    <w:lsdException w:name="Table List 6" w:uiPriority="0" w:semiHidden="false" w:unhideWhenUsed="false"/>
    <w:lsdException w:name="List Bullet 4" w:uiPriority="0" w:semiHidden="false" w:unhideWhenUsed="false"/>
    <w:lsdException w:name="table of figures" w:uiPriority="0" w:semiHidden="false" w:unhideWhenUsed="false"/>
    <w:lsdException w:name="List 5" w:uiPriority="0" w:semiHidden="false" w:unhideWhenUsed="false"/>
    <w:lsdException w:name="Table Simple 1" w:uiPriority="0" w:semiHidden="false" w:unhideWhenUsed="false"/>
    <w:lsdException w:name="List Continue" w:uiPriority="0" w:semiHidden="false" w:unhideWhenUsed="false"/>
    <w:lsdException w:name="Medium Grid 1 Accent 6" w:uiPriority="67" w:semiHidden="false" w:unhideWhenUsed="false"/>
    <w:lsdException w:name="Table Grid 8" w:uiPriority="0" w:semiHidden="false" w:unhideWhenUsed="false"/>
    <w:lsdException w:name="Table List 1" w:uiPriority="0" w:semiHidden="false" w:unhideWhenUsed="false"/>
    <w:lsdException w:name="Medium Grid 3 Accent 5" w:uiPriority="69" w:semiHidden="false" w:unhideWhenUsed="false"/>
    <w:lsdException w:name="HTML Code" w:uiPriority="0" w:semiHidden="false" w:unhideWhenUsed="false"/>
    <w:lsdException w:name="annotation text" w:uiPriority="0" w:semiHidden="false" w:unhideWhenUsed="false"/>
    <w:lsdException w:name="toc 5" w:uiPriority="0" w:semiHidden="false" w:unhideWhenUsed="false"/>
    <w:lsdException w:name="Colorful List" w:uiPriority="72" w:semiHidden="false" w:unhideWhenUsed="false"/>
    <w:lsdException w:name="heading 6" w:uiPriority="0" w:qFormat="true"/>
    <w:lsdException w:name="Table Colorful 3" w:uiPriority="0" w:semiHidden="false" w:unhideWhenUsed="false"/>
    <w:lsdException w:name="Table Grid 1" w:uiPriority="0" w:semiHidden="false" w:unhideWhenUsed="false"/>
    <w:lsdException w:name="Normal" w:uiPriority="0" w:semiHidden="false" w:unhideWhenUsed="false" w:qFormat="true"/>
    <w:lsdException w:name="List Number 3" w:uiPriority="0" w:semiHidden="false" w:unhideWhenUsed="false"/>
    <w:lsdException w:name="Colorful Shading Accent 6" w:uiPriority="71" w:semiHidden="false" w:unhideWhenUsed="false"/>
    <w:lsdException w:name="Light List Accent 6" w:uiPriority="61" w:semiHidden="false" w:unhideWhenUsed="false"/>
    <w:lsdException w:name="HTML Variable" w:uiPriority="0" w:semiHidden="false" w:unhideWhenUsed="false"/>
    <w:lsdException w:name="List Bullet 3" w:uiPriority="0" w:semiHidden="false" w:unhideWhenUsed="false"/>
    <w:lsdException w:name="Colorful List Accent 2" w:uiPriority="72" w:semiHidden="false" w:unhideWhenUsed="false"/>
    <w:lsdException w:name="macro" w:uiPriority="0" w:semiHidden="false" w:unhideWhenUsed="false"/>
    <w:lsdException w:name="HTML Sample" w:uiPriority="0" w:semiHidden="false" w:unhideWhenUsed="false"/>
    <w:lsdException w:name="Date" w:uiPriority="0" w:semiHidden="false" w:unhideWhenUsed="false"/>
    <w:lsdException w:name="caption" w:uiPriority="0" w:qFormat="true"/>
    <w:lsdException w:name="Medium List 2 Accent 5" w:uiPriority="66" w:semiHidden="false" w:unhideWhenUsed="false"/>
    <w:lsdException w:name="Title" w:uiPriority="0" w:semiHidden="false" w:unhideWhenUsed="false" w:qFormat="true"/>
    <w:lsdException w:name="Emphasis" w:uiPriority="0" w:semiHidden="false" w:unhideWhenUsed="false" w:qFormat="true"/>
    <w:lsdException w:name="Colorful Grid Accent 2" w:uiPriority="73" w:semiHidden="false" w:unhideWhenUsed="false"/>
    <w:lsdException w:name="Normal Indent" w:uiPriority="0" w:semiHidden="false" w:unhideWhenUsed="false"/>
    <w:lsdException w:name="index 3" w:uiPriority="0" w:semiHidden="false" w:unhideWhenUsed="false"/>
    <w:lsdException w:name="Closing" w:uiPriority="0" w:semiHidden="false" w:unhideWhenUsed="false"/>
    <w:lsdException w:name="Table Classic 4" w:uiPriority="0" w:semiHidden="false" w:unhideWhenUsed="false"/>
    <w:lsdException w:name="heading 9" w:uiPriority="0" w:qFormat="true"/>
    <w:lsdException w:name="annotation subject" w:uiPriority="0" w:semiHidden="false" w:unhideWhenUsed="false"/>
    <w:lsdException w:name="index heading" w:uiPriority="0" w:semiHidden="false" w:unhideWhenUsed="false"/>
    <w:lsdException w:name="Dark List Accent 3" w:uiPriority="70" w:semiHidden="false" w:unhideWhenUsed="false"/>
    <w:lsdException w:name="Body Text" w:uiPriority="0" w:semiHidden="false" w:unhideWhenUsed="false"/>
    <w:lsdException w:name="List Number 4" w:uiPriority="0" w:semiHidden="false" w:unhideWhenUsed="false"/>
    <w:lsdException w:name="Light List Accent 5" w:uiPriority="61" w:semiHidden="false" w:unhideWhenUsed="false"/>
    <w:lsdException w:name="Colorful Shading Accent 1" w:uiPriority="71" w:semiHidden="false" w:unhideWhenUsed="false"/>
    <w:lsdException w:name="Light List Accent 1" w:uiPriority="61" w:semiHidden="false" w:unhideWhenUsed="false"/>
    <w:lsdException w:name="Salutation" w:uiPriority="0" w:semiHidden="false" w:unhideWhenUsed="false"/>
    <w:lsdException w:name="endnote text" w:uiPriority="0" w:semiHidden="false" w:unhideWhenUsed="false"/>
    <w:lsdException w:name="Medium Grid 3 Accent 4" w:uiPriority="69" w:semiHidden="false" w:unhideWhenUsed="false"/>
    <w:lsdException w:name="Medium List 1" w:uiPriority="65" w:semiHidden="false" w:unhideWhenUsed="false"/>
    <w:lsdException w:name="Colorful List Accent 5" w:uiPriority="72" w:semiHidden="false" w:unhideWhenUsed="false"/>
    <w:lsdException w:name="Table Web 3" w:uiPriority="0" w:semiHidden="false" w:unhideWhenUsed="false"/>
    <w:lsdException w:name="toc 4" w:uiPriority="0" w:semiHidden="false" w:unhideWhenUsed="false"/>
    <w:lsdException w:name="Table Colorful 2" w:uiPriority="0" w:semiHidden="false" w:unhideWhenUsed="false"/>
    <w:lsdException w:name="Light Grid Accent 6" w:uiPriority="62" w:semiHidden="false" w:unhideWhenUsed="false"/>
    <w:lsdException w:name="Medium List 2 Accent 6" w:uiPriority="66" w:semiHidden="false" w:unhideWhenUsed="false"/>
    <w:lsdException w:name="Table Columns 4" w:uiPriority="0" w:semiHidden="false" w:unhideWhenUsed="false"/>
    <w:lsdException w:name="Colorful Grid Accent 5" w:uiPriority="73" w:semiHidden="false" w:unhideWhenUsed="false"/>
    <w:lsdException w:name="List 4" w:uiPriority="0" w:semiHidden="false" w:unhideWhenUsed="false"/>
    <w:lsdException w:name="table of authorities" w:uiPriority="0" w:semiHidden="false" w:unhideWhenUsed="false"/>
    <w:lsdException w:name="index 2" w:uiPriority="0" w:semiHidden="false" w:unhideWhenUsed="false"/>
    <w:lsdException w:name="Medium List 1 Accent 5" w:uiPriority="65" w:semiHidden="false" w:unhideWhenUsed="false"/>
    <w:lsdException w:name="Table Classic 3" w:uiPriority="0" w:semiHidden="false" w:unhideWhenUsed="false"/>
    <w:lsdException w:name="List Number" w:uiPriority="0" w:semiHidden="false" w:unhideWhenUsed="false"/>
    <w:lsdException w:name="Table Colorful 1" w:uiPriority="0" w:semiHidden="false" w:unhideWhenUsed="false"/>
    <w:lsdException w:name="List Bullet 2" w:uiPriority="0" w:semiHidden="false" w:unhideWhenUsed="false"/>
    <w:lsdException w:name="footnote text" w:uiPriority="0" w:semiHidden="false" w:unhideWhenUsed="false"/>
    <w:lsdException w:name="Medium Shading 2 Accent 1" w:uiPriority="64" w:semiHidden="false" w:unhideWhenUsed="false"/>
    <w:lsdException w:name="Default Paragraph Font" w:uiPriority="0" w:unhideWhenUsed="false"/>
    <w:lsdException w:name="Table List 3" w:uiPriority="0" w:semiHidden="false" w:unhideWhenUsed="false"/>
    <w:lsdException w:name="Medium List 2" w:uiPriority="66" w:semiHidden="false" w:unhideWhenUsed="false"/>
    <w:lsdException w:name="toc 7" w:uiPriority="0" w:semiHidden="false" w:unhideWhenUsed="false"/>
    <w:lsdException w:name="Body Text Indent" w:uiPriority="0" w:semiHidden="false" w:unhideWhenUsed="false"/>
    <w:lsdException w:name="heading 8" w:uiPriority="0" w:qFormat="true"/>
    <w:lsdException w:name="Light Shading Accent 1" w:uiPriority="60" w:semiHidden="false" w:unhideWhenUsed="false"/>
    <w:lsdException w:name="Medium Shading 1 Accent 3" w:uiPriority="63" w:semiHidden="false" w:unhideWhenUsed="false"/>
    <w:lsdException w:name="Table Grid 3" w:uiPriority="0" w:semiHidden="false" w:unhideWhenUsed="false"/>
    <w:lsdException w:name="toa heading" w:uiPriority="0" w:semiHidden="false" w:unhideWhenUsed="false"/>
    <w:lsdException w:name="Medium Grid 2 Accent 1" w:uiPriority="68" w:semiHidden="false" w:unhideWhenUsed="false"/>
    <w:lsdException w:name="Medium Grid 2" w:uiPriority="68" w:semiHidden="false" w:unhideWhenUsed="false"/>
    <w:lsdException w:name="Dark List Accent 2" w:uiPriority="70" w:semiHidden="false" w:unhideWhenUsed="false"/>
    <w:lsdException w:name="List Number 5" w:uiPriority="0" w:semiHidden="false" w:unhideWhenUsed="false"/>
    <w:lsdException w:name="Light List Accent 4" w:uiPriority="61" w:semiHidden="false" w:unhideWhenUsed="false"/>
    <w:lsdException w:name="Table Subtle 2" w:uiPriority="0" w:semiHidden="false" w:unhideWhenUsed="false"/>
    <w:lsdException w:name="heading 1" w:uiPriority="0" w:semiHidden="false" w:unhideWhenUsed="false" w:qFormat="true"/>
    <w:lsdException w:name="Colorful List Accent 4" w:uiPriority="72" w:semiHidden="false" w:unhideWhenUsed="false"/>
    <w:lsdException w:name="Table Web 2" w:uiPriority="0" w:semiHidden="false" w:unhideWhenUsed="false"/>
    <w:lsdException w:name="Light Grid Accent 1" w:uiPriority="62" w:semiHidden="false" w:unhideWhenUsed="false"/>
    <w:lsdException w:name="Dark List Accent 1" w:uiPriority="70" w:semiHidden="false" w:unhideWhenUsed="false"/>
    <w:lsdException w:name="Balloon Text" w:uiPriority="0" w:semiHidden="false" w:unhideWhenUsed="false"/>
    <w:lsdException w:name="Dark List" w:uiPriority="70" w:semiHidden="false" w:unhideWhenUsed="false"/>
    <w:lsdException w:name="Table Columns 5" w:uiPriority="0" w:semiHidden="false" w:unhideWhenUsed="false"/>
    <w:lsdException w:name="Colorful Grid Accent 4" w:uiPriority="73" w:semiHidden="false" w:unhideWhenUsed="false"/>
    <w:lsdException w:name="index 1" w:uiPriority="0" w:semiHidden="false" w:unhideWhenUsed="false"/>
    <w:lsdException w:name="List" w:uiPriority="0" w:semiHidden="false" w:unhideWhenUsed="false"/>
    <w:lsdException w:name="Table Classic 2" w:uiPriority="0" w:semiHidden="false" w:unhideWhenUsed="false"/>
    <w:lsdException w:name="Medium List 1 Accent 4" w:uiPriority="65" w:semiHidden="false" w:unhideWhenUsed="false"/>
    <w:lsdException w:name="Colorful Grid" w:uiPriority="73" w:semiHidden="false" w:unhideWhenUsed="false"/>
    <w:lsdException w:name="HTML Keyboard" w:uiPriority="0" w:semiHidden="false" w:unhideWhenUsed="false"/>
    <w:lsdException w:name="Medium Grid 2 Accent 2" w:uiPriority="68" w:semiHidden="false" w:unhideWhenUsed="false"/>
    <w:lsdException w:name="Colorful Shading Accent 3" w:uiPriority="71" w:semiHidden="false" w:unhideWhenUsed="false"/>
    <w:lsdException w:name="Medium Grid 1 Accent 1" w:uiPriority="67" w:semiHidden="false" w:unhideWhenUsed="false"/>
    <w:lsdException w:name="Light List Accent 3" w:uiPriority="61" w:semiHidden="false" w:unhideWhenUsed="false"/>
    <w:lsdException w:name="Table List 2" w:uiPriority="0" w:semiHidden="false" w:unhideWhenUsed="false"/>
    <w:lsdException w:name="FollowedHyperlink" w:uiPriority="0" w:semiHidden="false" w:unhideWhenUsed="false"/>
    <w:lsdException w:name="Body Text 2" w:uiPriority="0" w:semiHidden="false" w:unhideWhenUsed="false"/>
    <w:lsdException w:name="toc 6" w:uiPriority="0" w:semiHidden="false" w:unhideWhenUsed="false"/>
    <w:lsdException w:name="Medium Shading 1 Accent 2" w:uiPriority="63" w:semiHidden="false" w:unhideWhenUsed="false"/>
    <w:lsdException w:name="Table Grid 2" w:uiPriority="0" w:semiHidden="false" w:unhideWhenUsed="false"/>
    <w:lsdException w:name="Medium Shading 2" w:uiPriority="64" w:semiHidden="false" w:unhideWhenUsed="false"/>
    <w:lsdException w:name="Medium Grid 3" w:uiPriority="69" w:semiHidden="false" w:unhideWhenUsed="false"/>
    <w:lsdException w:name="Medium Grid 3 Accent 3" w:uiPriority="69" w:semiHidden="false" w:unhideWhenUsed="false"/>
    <w:lsdException w:name="Table Classic 1" w:uiPriority="0" w:semiHidden="false" w:unhideWhenUsed="false"/>
    <w:lsdException w:name="Light Shading" w:uiPriority="60" w:semiHidden="false" w:unhideWhenUsed="false"/>
    <w:lsdException w:name="Block Text" w:uiPriority="0" w:semiHidden="false" w:unhideWhenUsed="false"/>
    <w:lsdException w:name="toc 9" w:uiPriority="0" w:semiHidden="false" w:unhideWhenUsed="false"/>
    <w:lsdException w:name="Medium Shading 1 Accent 1" w:uiPriority="63" w:semiHidden="false" w:unhideWhenUsed="false"/>
    <w:lsdException w:name="Light Shading Accent 3" w:uiPriority="60" w:semiHidden="false" w:unhideWhenUsed="false"/>
    <w:lsdException w:name="HTML Acronym" w:uiPriority="0" w:semiHidden="false" w:unhideWhenUsed="false"/>
    <w:lsdException w:name="Medium Shading 2 Accent 6" w:uiPriority="64" w:semiHidden="false" w:unhideWhenUsed="false"/>
    <w:lsdException w:name="Subtitle" w:uiPriority="0" w:semiHidden="false" w:unhideWhenUsed="false" w:qFormat="true"/>
    <w:lsdException w:name="Table Contemporary" w:uiPriority="0" w:semiHidden="false" w:unhideWhenUsed="false"/>
    <w:lsdException w:name="Body Text Indent 3" w:uiPriority="0" w:semiHidden="false" w:unhideWhenUsed="false"/>
    <w:lsdException w:name="Medium Grid 2 Accent 3" w:uiPriority="68" w:semiHidden="false" w:unhideWhenUsed="false"/>
    <w:lsdException w:name="Strong" w:uiPriority="0" w:semiHidden="false" w:unhideWhenUsed="false" w:qFormat="true"/>
    <w:lsdException w:name="Colorful Shading Accent 2" w:uiPriority="71" w:semiHidden="false" w:unhideWhenUsed="false"/>
    <w:lsdException w:name="Light List Accent 2" w:uiPriority="61" w:semiHidden="false" w:unhideWhenUsed="false"/>
    <w:lsdException w:name="index 9" w:uiPriority="0" w:semiHidden="false" w:unhideWhenUsed="false"/>
    <w:lsdException w:name="heading 3" w:uiPriority="0" w:qFormat="true"/>
    <w:lsdException w:name="Medium List 1 Accent 6" w:uiPriority="65" w:semiHidden="false" w:unhideWhenUsed="false"/>
    <w:lsdException w:name="Table Theme" w:uiPriority="0" w:semiHidden="false" w:unhideWhenUsed="false"/>
    <w:lsdException w:name="Body Text 3" w:uiPriority="0" w:semiHidden="false" w:unhideWhenUsed="false"/>
    <w:lsdException w:name="Colorful List Accent 6" w:uiPriority="72" w:semiHidden="false" w:unhideWhenUsed="false"/>
    <w:lsdException w:name="Normal (Web)" w:uiPriority="0" w:semiHidden="false" w:unhideWhenUsed="false"/>
    <w:lsdException w:name="Light Grid Accent 3" w:uiPriority="62" w:semiHidden="false" w:unhideWhenUsed="false"/>
    <w:lsdException w:name="Medium Grid 2 Accent 4" w:uiPriority="68" w:semiHidden="false" w:unhideWhenUsed="false"/>
    <w:lsdException w:name="HTML Definition" w:uiPriority="0" w:semiHidden="false" w:unhideWhenUsed="false"/>
    <w:lsdException w:name="Medium List 2 Accent 1" w:uiPriority="66" w:semiHidden="false" w:unhideWhenUsed="false"/>
    <w:lsdException w:name="Colorful Grid Accent 6" w:uiPriority="73" w:semiHidden="false" w:unhideWhenUsed="false"/>
    <w:lsdException w:name="Medium Grid 3 Accent 2" w:uiPriority="69" w:semiHidden="false" w:unhideWhenUsed="false"/>
    <w:lsdException w:name="Medium Grid 1 Accent 3" w:uiPriority="67" w:semiHidden="false" w:unhideWhenUsed="false"/>
    <w:lsdException w:name="Medium List 1 Accent 1" w:uiPriority="65" w:semiHidden="false" w:unhideWhenUsed="false"/>
    <w:lsdException w:name="List Bullet" w:uiPriority="0" w:semiHidden="false" w:unhideWhenUsed="false"/>
    <w:lsdException w:name="Table 3D effects 2" w:uiPriority="0" w:semiHidden="false" w:unhideWhenUsed="false"/>
    <w:lsdException w:name="toc 8" w:uiPriority="0" w:semiHidden="false" w:unhideWhenUsed="false"/>
    <w:lsdException w:name="footer" w:uiPriority="0" w:semiHidden="false" w:unhideWhenUsed="false"/>
    <w:lsdException w:name="Light Shading Accent 2" w:uiPriority="60" w:semiHidden="false" w:unhideWhenUsed="false"/>
  </w:latentStyles>
  <w:style w:type="paragraph" w:styleId="000002">
    <w:name w:val="heading 2"/>
    <w:next w:val="000001"/>
    <w:uiPriority w:val="0"/>
    <w:unhideWhenUsed/>
    <w:qFormat/>
    <w:pPr>
      <w:widowControl w:val="false"/>
      <w:spacing w:before="100" w:beforeAutospacing="true" w:after="100" w:afterAutospacing="true"/>
      <w:jc w:val="left"/>
      <w:outlineLvl w:val="1"/>
    </w:pPr>
    <w:rPr>
      <w:rFonts w:hint="eastAsia" w:ascii="宋体" w:hAnsi="宋体" w:eastAsia="宋体" w:cs="Times New Roman"/>
      <w:b/>
      <w:kern w:val="0"/>
      <w:sz w:val="36"/>
      <w:szCs w:val="36"/>
      <w:lang w:val="en-US" w:eastAsia="zh-CN" w:bidi="ar-SA"/>
    </w:rPr>
  </w:style>
  <w:style w:type="table" w:styleId="000004" w:default="true">
    <w:name w:val="Normal Table"/>
    <w:uiPriority w:val="0"/>
    <w:semiHidden/>
    <w:tblPr>
      <w:tblCellMar>
        <w:top w:w="0" w:type="dxa"/>
        <w:left w:w="108" w:type="dxa"/>
        <w:bottom w:w="0" w:type="dxa"/>
        <w:right w:w="108" w:type="dxa"/>
      </w:tblCellMar>
    </w:tblPr>
  </w:style>
  <w:style w:type="paragraph" w:styleId="000001" w:default="true">
    <w:name w:val="Normal"/>
    <w:uiPriority w:val="0"/>
    <w:qFormat/>
    <w:pPr>
      <w:widowControl w:val="false"/>
      <w:jc w:val="both"/>
    </w:pPr>
    <w:rPr>
      <w:rFonts w:ascii="Times New Roman" w:hAnsi="Times New Roman" w:eastAsia="宋体" w:cs="Times New Roman"/>
      <w:kern w:val="2"/>
      <w:sz w:val="21"/>
      <w:szCs w:val="24"/>
      <w:lang w:val="en-US" w:eastAsia="zh-CN" w:bidi="ar-SA"/>
    </w:rPr>
  </w:style>
  <w:style w:type="character" w:styleId="000005" w:customStyle="true">
    <w:name w:val="NormalCharacter"/>
    <w:uiPriority w:val="0"/>
    <w:qFormat/>
    <w:rPr>
      <w:rFonts w:ascii="Times New Roman" w:hAnsi="Times New Roman" w:eastAsia="仿宋" w:cs="Times New Roman"/>
      <w:kern w:val="2"/>
      <w:sz w:val="32"/>
      <w:lang w:val="en-US" w:eastAsia="zh-CN" w:bidi="ar-SA"/>
    </w:rPr>
  </w:style>
  <w:style w:type="character" w:styleId="000003" w:default="true">
    <w:name w:val="Default Paragraph Font"/>
    <w:uiPriority w:val="0"/>
    <w:semiHidden/>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2025-01-22T10:52:03Z</dcterms:created>
  <dcterms:modified xsi:type="dcterms:W3CDTF">2025-01-22T10:52:03Z</dcterms:modified>
</cp:coreProperties>
</file>