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numPr>
          <w:ilvl w:val="0"/>
          <w:numId w:val="0"/>
        </w:numPr>
        <w:spacing w:before="0" w:after="0" w:afterLines="0" w:line="560" w:lineRule="exact"/>
        <w:jc w:val="left"/>
        <w:rPr>
          <w:rFonts w:hint="eastAsia" w:ascii="黑体" w:hAnsi="黑体" w:eastAsia="黑体" w:cs="黑体"/>
          <w:b w:val="0"/>
          <w:bCs w:val="0"/>
          <w:color w:val="auto"/>
          <w:kern w:val="44"/>
          <w:sz w:val="32"/>
          <w:szCs w:val="32"/>
          <w:highlight w:val="none"/>
          <w:lang w:val="en-US" w:eastAsia="zh-CN" w:bidi="ar-SA"/>
        </w:rPr>
      </w:pPr>
      <w:r>
        <w:rPr>
          <w:rFonts w:hint="eastAsia" w:ascii="黑体" w:hAnsi="黑体" w:eastAsia="黑体" w:cs="黑体"/>
          <w:b w:val="0"/>
          <w:bCs w:val="0"/>
          <w:color w:val="auto"/>
          <w:kern w:val="44"/>
          <w:sz w:val="32"/>
          <w:szCs w:val="32"/>
          <w:highlight w:val="none"/>
          <w:lang w:val="en-US" w:eastAsia="zh-CN" w:bidi="ar-SA"/>
        </w:rPr>
        <w:t>附</w:t>
      </w:r>
      <w:r>
        <w:rPr>
          <w:rFonts w:hint="default" w:ascii="黑体" w:hAnsi="黑体" w:eastAsia="黑体" w:cs="黑体"/>
          <w:b w:val="0"/>
          <w:bCs w:val="0"/>
          <w:color w:val="auto"/>
          <w:kern w:val="44"/>
          <w:sz w:val="32"/>
          <w:szCs w:val="32"/>
          <w:highlight w:val="none"/>
          <w:lang w:val="en-US" w:eastAsia="zh-CN" w:bidi="ar-SA"/>
        </w:rPr>
        <w:t>件</w:t>
      </w:r>
      <w:r>
        <w:rPr>
          <w:rFonts w:hint="eastAsia" w:ascii="黑体" w:hAnsi="黑体" w:eastAsia="黑体" w:cs="黑体"/>
          <w:b w:val="0"/>
          <w:bCs w:val="0"/>
          <w:color w:val="auto"/>
          <w:kern w:val="44"/>
          <w:sz w:val="32"/>
          <w:szCs w:val="32"/>
          <w:highlight w:val="none"/>
          <w:lang w:val="en-US" w:eastAsia="zh-CN" w:bidi="ar-SA"/>
        </w:rPr>
        <w:t>1</w:t>
      </w:r>
    </w:p>
    <w:p>
      <w:pPr>
        <w:pStyle w:val="4"/>
        <w:numPr>
          <w:ilvl w:val="0"/>
          <w:numId w:val="0"/>
        </w:numPr>
        <w:spacing w:before="0" w:after="0" w:afterLines="0" w:line="560" w:lineRule="exact"/>
        <w:jc w:val="center"/>
        <w:rPr>
          <w:rFonts w:hint="eastAsia" w:ascii="黑体" w:hAnsi="黑体" w:eastAsia="黑体" w:cs="黑体"/>
          <w:b w:val="0"/>
          <w:bCs w:val="0"/>
          <w:color w:val="auto"/>
          <w:kern w:val="44"/>
          <w:sz w:val="32"/>
          <w:szCs w:val="32"/>
          <w:highlight w:val="none"/>
          <w:lang w:val="en-US" w:eastAsia="zh-CN" w:bidi="ar-SA"/>
        </w:rPr>
      </w:pPr>
      <w:r>
        <w:rPr>
          <w:rFonts w:hint="eastAsia" w:ascii="黑体" w:hAnsi="黑体" w:eastAsia="黑体" w:cs="黑体"/>
          <w:b w:val="0"/>
          <w:bCs w:val="0"/>
          <w:color w:val="auto"/>
          <w:kern w:val="44"/>
          <w:sz w:val="32"/>
          <w:szCs w:val="32"/>
          <w:highlight w:val="none"/>
          <w:lang w:val="en-US" w:eastAsia="zh-CN" w:bidi="ar-SA"/>
        </w:rPr>
        <w:t>专业人士执业资格对标清单</w:t>
      </w: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108" w:type="dxa"/>
          <w:bottom w:w="45" w:type="dxa"/>
          <w:right w:w="108" w:type="dxa"/>
        </w:tblCellMar>
      </w:tblPr>
      <w:tblGrid>
        <w:gridCol w:w="4165"/>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495" w:hRule="atLeast"/>
          <w:tblHeader/>
        </w:trPr>
        <w:tc>
          <w:tcPr>
            <w:tcW w:w="4165" w:type="dxa"/>
            <w:tcBorders>
              <w:top w:val="single" w:color="auto" w:sz="12" w:space="0"/>
              <w:left w:val="nil"/>
              <w:bottom w:val="single" w:color="auto" w:sz="12" w:space="0"/>
              <w:right w:val="double" w:color="auto" w:sz="4" w:space="0"/>
            </w:tcBorders>
            <w:noWrap w:val="0"/>
            <w:vAlign w:val="top"/>
          </w:tcPr>
          <w:p>
            <w:pPr>
              <w:spacing w:afterLines="0" w:line="560" w:lineRule="exact"/>
              <w:jc w:val="center"/>
              <w:outlineLvl w:val="0"/>
              <w:rPr>
                <w:rFonts w:hint="eastAsia" w:ascii="仿宋_GB2312" w:hAnsi="仿宋_GB2312" w:eastAsia="仿宋_GB2312" w:cs="仿宋_GB2312"/>
                <w:b/>
                <w:bCs/>
                <w:szCs w:val="24"/>
                <w:highlight w:val="none"/>
              </w:rPr>
            </w:pPr>
            <w:r>
              <w:rPr>
                <w:rFonts w:hint="eastAsia" w:ascii="仿宋_GB2312" w:hAnsi="仿宋_GB2312" w:eastAsia="仿宋_GB2312" w:cs="仿宋_GB2312"/>
                <w:b/>
                <w:bCs/>
                <w:color w:val="auto"/>
                <w:kern w:val="44"/>
                <w:sz w:val="24"/>
                <w:szCs w:val="24"/>
                <w:highlight w:val="none"/>
                <w:lang w:val="en-US" w:eastAsia="zh-CN" w:bidi="ar-SA"/>
              </w:rPr>
              <w:t>香港专业人士执业资格</w:t>
            </w:r>
          </w:p>
        </w:tc>
        <w:tc>
          <w:tcPr>
            <w:tcW w:w="4340" w:type="dxa"/>
            <w:tcBorders>
              <w:top w:val="single" w:color="auto" w:sz="12" w:space="0"/>
              <w:left w:val="double" w:color="auto" w:sz="4" w:space="0"/>
              <w:bottom w:val="single" w:color="auto" w:sz="12" w:space="0"/>
              <w:right w:val="nil"/>
            </w:tcBorders>
            <w:noWrap w:val="0"/>
            <w:vAlign w:val="top"/>
          </w:tcPr>
          <w:p>
            <w:pPr>
              <w:spacing w:afterLines="0" w:line="560" w:lineRule="exact"/>
              <w:jc w:val="center"/>
              <w:outlineLvl w:val="0"/>
              <w:rPr>
                <w:rFonts w:hint="eastAsia" w:ascii="仿宋_GB2312" w:hAnsi="仿宋_GB2312" w:eastAsia="仿宋_GB2312" w:cs="仿宋_GB2312"/>
                <w:b/>
                <w:bCs/>
                <w:szCs w:val="24"/>
                <w:highlight w:val="none"/>
                <w:lang w:eastAsia="zh-TW"/>
              </w:rPr>
            </w:pPr>
            <w:r>
              <w:rPr>
                <w:rFonts w:hint="eastAsia" w:ascii="仿宋_GB2312" w:hAnsi="仿宋_GB2312" w:eastAsia="仿宋_GB2312" w:cs="仿宋_GB2312"/>
                <w:b/>
                <w:bCs/>
                <w:color w:val="auto"/>
                <w:kern w:val="44"/>
                <w:sz w:val="24"/>
                <w:szCs w:val="24"/>
                <w:highlight w:val="none"/>
                <w:lang w:val="en-US" w:eastAsia="zh-TW" w:bidi="ar-SA"/>
              </w:rPr>
              <w:t>对应内地执业资格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c>
          <w:tcPr>
            <w:tcW w:w="4165" w:type="dxa"/>
            <w:tcBorders>
              <w:top w:val="single" w:color="auto" w:sz="12" w:space="0"/>
              <w:left w:val="nil"/>
              <w:bottom w:val="dotDash" w:color="auto" w:sz="4" w:space="0"/>
              <w:right w:val="double" w:color="auto" w:sz="4" w:space="0"/>
            </w:tcBorders>
            <w:noWrap w:val="0"/>
            <w:vAlign w:val="top"/>
          </w:tcPr>
          <w:p>
            <w:pPr>
              <w:spacing w:afterLines="0" w:line="240" w:lineRule="auto"/>
              <w:outlineLvl w:val="0"/>
              <w:rPr>
                <w:rFonts w:ascii="Times New Roman" w:hAnsi="Times New Roman" w:eastAsia="仿宋"/>
                <w:szCs w:val="24"/>
                <w:highlight w:val="none"/>
                <w:lang w:eastAsia="zh-TW"/>
              </w:rPr>
            </w:pPr>
            <w:r>
              <w:rPr>
                <w:rFonts w:hint="eastAsia" w:ascii="仿宋_GB2312" w:hAnsi="仿宋_GB2312" w:eastAsia="仿宋_GB2312" w:cs="仿宋_GB2312"/>
                <w:bCs/>
                <w:color w:val="auto"/>
                <w:kern w:val="0"/>
                <w:sz w:val="24"/>
                <w:szCs w:val="24"/>
                <w:highlight w:val="none"/>
                <w:lang w:val="en-US" w:eastAsia="zh-TW" w:bidi="ar-SA"/>
              </w:rPr>
              <w:t>注册建筑师 Registered Architect</w:t>
            </w:r>
          </w:p>
        </w:tc>
        <w:tc>
          <w:tcPr>
            <w:tcW w:w="4340" w:type="dxa"/>
            <w:tcBorders>
              <w:top w:val="single" w:color="auto" w:sz="12" w:space="0"/>
              <w:left w:val="double" w:color="auto" w:sz="4" w:space="0"/>
              <w:bottom w:val="dotDash" w:color="auto" w:sz="4" w:space="0"/>
              <w:right w:val="nil"/>
            </w:tcBorders>
            <w:noWrap w:val="0"/>
            <w:vAlign w:val="top"/>
          </w:tcPr>
          <w:p>
            <w:pPr>
              <w:spacing w:afterLines="0" w:line="240" w:lineRule="auto"/>
              <w:outlineLvl w:val="0"/>
              <w:rPr>
                <w:rFonts w:ascii="Times New Roman" w:hAnsi="Times New Roman" w:eastAsia="仿宋"/>
                <w:szCs w:val="24"/>
                <w:highlight w:val="none"/>
              </w:rPr>
            </w:pPr>
            <w:r>
              <w:rPr>
                <w:rFonts w:hint="eastAsia" w:ascii="仿宋_GB2312" w:hAnsi="仿宋_GB2312" w:eastAsia="仿宋_GB2312" w:cs="仿宋_GB2312"/>
                <w:bCs/>
                <w:color w:val="auto"/>
                <w:kern w:val="0"/>
                <w:sz w:val="24"/>
                <w:szCs w:val="24"/>
                <w:highlight w:val="none"/>
                <w:lang w:val="en-US" w:eastAsia="zh-TW" w:bidi="ar-SA"/>
              </w:rPr>
              <w:t>一级注册建筑师，注册监理工程师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c>
          <w:tcPr>
            <w:tcW w:w="4165" w:type="dxa"/>
            <w:tcBorders>
              <w:top w:val="dotDash" w:color="auto" w:sz="4" w:space="0"/>
              <w:left w:val="nil"/>
              <w:bottom w:val="dotDash" w:color="auto" w:sz="4" w:space="0"/>
              <w:right w:val="double" w:color="auto" w:sz="4" w:space="0"/>
            </w:tcBorders>
            <w:noWrap w:val="0"/>
            <w:vAlign w:val="top"/>
          </w:tcPr>
          <w:p>
            <w:pPr>
              <w:adjustRightInd/>
              <w:snapToGrid/>
              <w:spacing w:afterLines="0" w:line="240" w:lineRule="auto"/>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w:t>
            </w:r>
          </w:p>
          <w:p>
            <w:pPr>
              <w:spacing w:afterLines="0" w:line="240" w:lineRule="auto"/>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Engineer</w:t>
            </w:r>
          </w:p>
        </w:tc>
        <w:tc>
          <w:tcPr>
            <w:tcW w:w="4340" w:type="dxa"/>
            <w:tcBorders>
              <w:top w:val="dotDash" w:color="auto" w:sz="4" w:space="0"/>
              <w:left w:val="double" w:color="auto" w:sz="4" w:space="0"/>
              <w:bottom w:val="dotDash" w:color="auto" w:sz="4" w:space="0"/>
              <w:right w:val="nil"/>
            </w:tcBorders>
            <w:noWrap w:val="0"/>
            <w:vAlign w:val="top"/>
          </w:tcPr>
          <w:p>
            <w:pPr>
              <w:spacing w:afterLines="0" w:line="240" w:lineRule="auto"/>
              <w:outlineLvl w:val="0"/>
              <w:rPr>
                <w:rFonts w:hint="eastAsia" w:ascii="仿宋_GB2312" w:hAnsi="仿宋_GB2312" w:eastAsia="仿宋_GB2312" w:cs="仿宋_GB2312"/>
                <w:bCs/>
                <w:color w:val="auto"/>
                <w:kern w:val="0"/>
                <w:sz w:val="24"/>
                <w:szCs w:val="24"/>
                <w:highlight w:val="none"/>
                <w:lang w:val="en-US"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c>
          <w:tcPr>
            <w:tcW w:w="4165" w:type="dxa"/>
            <w:tcBorders>
              <w:top w:val="dotDash" w:color="auto" w:sz="4" w:space="0"/>
              <w:left w:val="nil"/>
              <w:bottom w:val="dotted" w:color="000000"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注册专业工程师（结构）</w:t>
            </w:r>
          </w:p>
          <w:p>
            <w:pPr>
              <w:spacing w:afterLines="0" w:line="240" w:lineRule="auto"/>
              <w:jc w:val="right"/>
              <w:outlineLvl w:val="0"/>
              <w:rPr>
                <w:rFonts w:ascii="Times New Roman" w:hAnsi="Times New Roman" w:eastAsia="仿宋"/>
                <w:szCs w:val="24"/>
                <w:highlight w:val="none"/>
                <w:lang w:eastAsia="zh-TW"/>
              </w:rPr>
            </w:pPr>
            <w:r>
              <w:rPr>
                <w:rFonts w:hint="eastAsia" w:ascii="仿宋_GB2312" w:hAnsi="仿宋_GB2312" w:eastAsia="仿宋_GB2312" w:cs="仿宋_GB2312"/>
                <w:bCs/>
                <w:color w:val="auto"/>
                <w:kern w:val="0"/>
                <w:sz w:val="24"/>
                <w:szCs w:val="24"/>
                <w:highlight w:val="none"/>
                <w:lang w:val="en-US" w:eastAsia="zh-TW" w:bidi="ar-SA"/>
              </w:rPr>
              <w:t>Registered Professional Engineer (Structural)</w:t>
            </w:r>
          </w:p>
        </w:tc>
        <w:tc>
          <w:tcPr>
            <w:tcW w:w="4340" w:type="dxa"/>
            <w:tcBorders>
              <w:top w:val="dotDash" w:color="auto"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一级注册结构工程师</w:t>
            </w:r>
            <w:r>
              <w:rPr>
                <w:rFonts w:hint="eastAsia" w:ascii="仿宋_GB2312" w:hAnsi="仿宋_GB2312" w:eastAsia="仿宋_GB2312" w:cs="仿宋_GB2312"/>
                <w:bCs/>
                <w:color w:val="auto"/>
                <w:kern w:val="0"/>
                <w:sz w:val="24"/>
                <w:szCs w:val="24"/>
                <w:highlight w:val="none"/>
                <w:lang w:val="en-US" w:eastAsia="zh-CN" w:bidi="ar-SA"/>
              </w:rPr>
              <w:t>，</w:t>
            </w:r>
            <w:r>
              <w:rPr>
                <w:rFonts w:hint="eastAsia" w:ascii="仿宋_GB2312" w:hAnsi="仿宋_GB2312" w:eastAsia="仿宋_GB2312" w:cs="仿宋_GB2312"/>
                <w:bCs/>
                <w:color w:val="auto"/>
                <w:kern w:val="0"/>
                <w:sz w:val="24"/>
                <w:szCs w:val="24"/>
                <w:highlight w:val="none"/>
                <w:lang w:val="en-US" w:eastAsia="zh-TW" w:bidi="ar-SA"/>
              </w:rPr>
              <w:t>注册监理工程师一级</w:t>
            </w:r>
            <w:r>
              <w:rPr>
                <w:rFonts w:hint="eastAsia" w:ascii="仿宋_GB2312" w:hAnsi="仿宋_GB2312" w:eastAsia="仿宋_GB2312" w:cs="仿宋_GB2312"/>
                <w:bCs/>
                <w:color w:val="auto"/>
                <w:kern w:val="0"/>
                <w:sz w:val="24"/>
                <w:szCs w:val="24"/>
                <w:highlight w:val="none"/>
                <w:lang w:val="en-US" w:eastAsia="zh-CN" w:bidi="ar-SA"/>
              </w:rPr>
              <w:t>注册</w:t>
            </w:r>
            <w:r>
              <w:rPr>
                <w:rFonts w:hint="eastAsia" w:ascii="仿宋_GB2312" w:hAnsi="仿宋_GB2312" w:eastAsia="仿宋_GB2312" w:cs="仿宋_GB2312"/>
                <w:bCs/>
                <w:color w:val="auto"/>
                <w:kern w:val="0"/>
                <w:sz w:val="24"/>
                <w:szCs w:val="24"/>
                <w:highlight w:val="none"/>
                <w:lang w:val="en-US" w:eastAsia="zh-TW" w:bidi="ar-SA"/>
              </w:rPr>
              <w:t>建造师</w:t>
            </w:r>
          </w:p>
          <w:p>
            <w:pPr>
              <w:spacing w:afterLines="0" w:line="240" w:lineRule="auto"/>
              <w:jc w:val="left"/>
              <w:outlineLvl w:val="0"/>
              <w:rPr>
                <w:rFonts w:ascii="Times New Roman" w:hAnsi="Times New Roman" w:eastAsia="仿宋"/>
                <w:szCs w:val="24"/>
                <w:highlight w:val="none"/>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c>
          <w:tcPr>
            <w:tcW w:w="4165" w:type="dxa"/>
            <w:tcBorders>
              <w:top w:val="dotted" w:color="000000" w:sz="4" w:space="0"/>
              <w:left w:val="nil"/>
              <w:bottom w:val="dotted" w:color="000000" w:sz="4" w:space="0"/>
              <w:right w:val="double" w:color="auto" w:sz="4" w:space="0"/>
            </w:tcBorders>
            <w:noWrap w:val="0"/>
            <w:vAlign w:val="top"/>
          </w:tcPr>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注册专业工程师（岩土）</w:t>
            </w:r>
          </w:p>
          <w:p>
            <w:pPr>
              <w:spacing w:afterLines="0" w:line="240" w:lineRule="auto"/>
              <w:jc w:val="right"/>
              <w:outlineLvl w:val="0"/>
              <w:rPr>
                <w:rFonts w:ascii="Times New Roman" w:hAnsi="Times New Roman" w:eastAsia="仿宋"/>
                <w:szCs w:val="24"/>
                <w:highlight w:val="none"/>
                <w:lang w:eastAsia="zh-TW"/>
              </w:rPr>
            </w:pPr>
            <w:r>
              <w:rPr>
                <w:rFonts w:hint="eastAsia" w:ascii="仿宋_GB2312" w:hAnsi="仿宋_GB2312" w:eastAsia="仿宋_GB2312" w:cs="仿宋_GB2312"/>
                <w:bCs/>
                <w:color w:val="auto"/>
                <w:kern w:val="0"/>
                <w:sz w:val="24"/>
                <w:szCs w:val="24"/>
                <w:highlight w:val="none"/>
                <w:lang w:val="en-US" w:eastAsia="zh-TW" w:bidi="ar-SA"/>
              </w:rPr>
              <w:t>Registered Professional Engineer (Geotechnical)</w:t>
            </w:r>
          </w:p>
        </w:tc>
        <w:tc>
          <w:tcPr>
            <w:tcW w:w="4340" w:type="dxa"/>
            <w:tcBorders>
              <w:top w:val="dotted" w:color="000000"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注册土木工程师</w:t>
            </w:r>
          </w:p>
          <w:p>
            <w:pPr>
              <w:spacing w:afterLines="0" w:line="240" w:lineRule="auto"/>
              <w:jc w:val="left"/>
              <w:outlineLvl w:val="0"/>
              <w:rPr>
                <w:rFonts w:ascii="Times New Roman" w:hAnsi="Times New Roman" w:eastAsia="仿宋"/>
                <w:szCs w:val="24"/>
                <w:highlight w:val="none"/>
              </w:rPr>
            </w:pPr>
            <w:r>
              <w:rPr>
                <w:rFonts w:hint="eastAsia" w:ascii="仿宋_GB2312" w:hAnsi="仿宋_GB2312" w:eastAsia="仿宋_GB2312" w:cs="仿宋_GB2312"/>
                <w:bCs/>
                <w:color w:val="auto"/>
                <w:kern w:val="0"/>
                <w:sz w:val="24"/>
                <w:szCs w:val="24"/>
                <w:highlight w:val="none"/>
                <w:lang w:val="en-US" w:eastAsia="zh-TW" w:bidi="ar-SA"/>
              </w:rPr>
              <w:t>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42" w:hRule="atLeast"/>
        </w:trPr>
        <w:tc>
          <w:tcPr>
            <w:tcW w:w="4165" w:type="dxa"/>
            <w:tcBorders>
              <w:top w:val="dotted" w:color="000000" w:sz="4" w:space="0"/>
              <w:left w:val="nil"/>
              <w:bottom w:val="dotted" w:color="000000"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注册专业工程师（土木）</w:t>
            </w:r>
          </w:p>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 xml:space="preserve">Registered Professional Engineer </w:t>
            </w:r>
          </w:p>
          <w:p>
            <w:pPr>
              <w:spacing w:afterLines="0" w:line="240" w:lineRule="auto"/>
              <w:jc w:val="right"/>
              <w:outlineLvl w:val="0"/>
              <w:rPr>
                <w:rFonts w:ascii="Times New Roman" w:hAnsi="Times New Roman" w:eastAsia="仿宋"/>
                <w:szCs w:val="24"/>
                <w:highlight w:val="none"/>
                <w:lang w:eastAsia="zh-TW"/>
              </w:rPr>
            </w:pPr>
            <w:r>
              <w:rPr>
                <w:rFonts w:hint="eastAsia" w:ascii="仿宋_GB2312" w:hAnsi="仿宋_GB2312" w:eastAsia="仿宋_GB2312" w:cs="仿宋_GB2312"/>
                <w:bCs/>
                <w:color w:val="auto"/>
                <w:kern w:val="0"/>
                <w:sz w:val="24"/>
                <w:szCs w:val="24"/>
                <w:highlight w:val="none"/>
                <w:lang w:val="en-US" w:eastAsia="zh-TW" w:bidi="ar-SA"/>
              </w:rPr>
              <w:t>(Civil)</w:t>
            </w:r>
          </w:p>
        </w:tc>
        <w:tc>
          <w:tcPr>
            <w:tcW w:w="4340" w:type="dxa"/>
            <w:tcBorders>
              <w:top w:val="dotted" w:color="000000" w:sz="4" w:space="0"/>
              <w:left w:val="double" w:color="auto" w:sz="4" w:space="0"/>
              <w:bottom w:val="dotted" w:color="000000" w:sz="4" w:space="0"/>
              <w:right w:val="nil"/>
            </w:tcBorders>
            <w:noWrap w:val="0"/>
            <w:vAlign w:val="top"/>
          </w:tcPr>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注册土木工程师</w:t>
            </w:r>
            <w:r>
              <w:rPr>
                <w:rFonts w:hint="eastAsia" w:ascii="仿宋_GB2312" w:hAnsi="仿宋_GB2312" w:eastAsia="仿宋_GB2312" w:cs="仿宋_GB2312"/>
                <w:bCs/>
                <w:color w:val="auto"/>
                <w:kern w:val="0"/>
                <w:sz w:val="24"/>
                <w:szCs w:val="24"/>
                <w:highlight w:val="none"/>
                <w:lang w:val="en-US" w:eastAsia="zh-CN" w:bidi="ar-SA"/>
              </w:rPr>
              <w:t>，</w:t>
            </w:r>
            <w:r>
              <w:rPr>
                <w:rFonts w:hint="eastAsia" w:ascii="仿宋_GB2312" w:hAnsi="仿宋_GB2312" w:eastAsia="仿宋_GB2312" w:cs="仿宋_GB2312"/>
                <w:bCs/>
                <w:color w:val="auto"/>
                <w:kern w:val="0"/>
                <w:sz w:val="24"/>
                <w:szCs w:val="24"/>
                <w:highlight w:val="none"/>
                <w:lang w:val="en-US" w:eastAsia="zh-TW" w:bidi="ar-SA"/>
              </w:rPr>
              <w:t>注册监理工程师</w:t>
            </w:r>
          </w:p>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一级</w:t>
            </w:r>
            <w:r>
              <w:rPr>
                <w:rFonts w:hint="eastAsia" w:ascii="仿宋_GB2312" w:hAnsi="仿宋_GB2312" w:eastAsia="仿宋_GB2312" w:cs="仿宋_GB2312"/>
                <w:bCs/>
                <w:color w:val="auto"/>
                <w:kern w:val="0"/>
                <w:sz w:val="24"/>
                <w:szCs w:val="24"/>
                <w:highlight w:val="none"/>
                <w:lang w:val="en-US" w:eastAsia="zh-CN" w:bidi="ar-SA"/>
              </w:rPr>
              <w:t>注册</w:t>
            </w:r>
            <w:r>
              <w:rPr>
                <w:rFonts w:hint="eastAsia" w:ascii="仿宋_GB2312" w:hAnsi="仿宋_GB2312" w:eastAsia="仿宋_GB2312" w:cs="仿宋_GB2312"/>
                <w:bCs/>
                <w:color w:val="auto"/>
                <w:kern w:val="0"/>
                <w:sz w:val="24"/>
                <w:szCs w:val="24"/>
                <w:highlight w:val="none"/>
                <w:lang w:val="en-US" w:eastAsia="zh-TW" w:bidi="ar-SA"/>
              </w:rPr>
              <w:t>建造师</w:t>
            </w:r>
          </w:p>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ted" w:color="000000" w:sz="4" w:space="0"/>
              <w:left w:val="nil"/>
              <w:bottom w:val="dotted" w:color="000000"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u w:val="none"/>
                <w:lang w:val="en-US" w:eastAsia="zh-TW" w:bidi="ar-SA"/>
              </w:rPr>
            </w:pPr>
            <w:r>
              <w:rPr>
                <w:rFonts w:hint="eastAsia" w:ascii="仿宋_GB2312" w:hAnsi="仿宋_GB2312" w:eastAsia="仿宋_GB2312" w:cs="仿宋_GB2312"/>
                <w:bCs/>
                <w:color w:val="auto"/>
                <w:kern w:val="0"/>
                <w:sz w:val="24"/>
                <w:szCs w:val="24"/>
                <w:highlight w:val="none"/>
                <w:u w:val="none"/>
                <w:lang w:val="en-US" w:eastAsia="zh-TW" w:bidi="ar-SA"/>
              </w:rPr>
              <w:t>注册专业工程师（电机）</w:t>
            </w:r>
          </w:p>
          <w:p>
            <w:pPr>
              <w:spacing w:afterLines="0" w:line="240" w:lineRule="auto"/>
              <w:jc w:val="right"/>
              <w:outlineLvl w:val="0"/>
              <w:rPr>
                <w:rFonts w:ascii="Times New Roman" w:hAnsi="Times New Roman" w:eastAsia="仿宋"/>
                <w:szCs w:val="24"/>
                <w:highlight w:val="none"/>
                <w:u w:val="none"/>
                <w:lang w:eastAsia="zh-TW"/>
              </w:rPr>
            </w:pPr>
            <w:r>
              <w:rPr>
                <w:rFonts w:hint="eastAsia" w:ascii="仿宋_GB2312" w:hAnsi="仿宋_GB2312" w:eastAsia="仿宋_GB2312" w:cs="仿宋_GB2312"/>
                <w:bCs/>
                <w:color w:val="auto"/>
                <w:kern w:val="0"/>
                <w:sz w:val="24"/>
                <w:szCs w:val="24"/>
                <w:highlight w:val="none"/>
                <w:u w:val="none"/>
                <w:lang w:val="en-US" w:eastAsia="zh-TW" w:bidi="ar-SA"/>
              </w:rPr>
              <w:t>Registered Professional Engineer (Electrical)</w:t>
            </w:r>
          </w:p>
        </w:tc>
        <w:tc>
          <w:tcPr>
            <w:tcW w:w="4340" w:type="dxa"/>
            <w:tcBorders>
              <w:top w:val="dotted" w:color="000000"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u w:val="none"/>
                <w:lang w:val="en-US" w:eastAsia="zh-TW" w:bidi="ar-SA"/>
              </w:rPr>
            </w:pPr>
            <w:r>
              <w:rPr>
                <w:rFonts w:hint="eastAsia" w:ascii="仿宋_GB2312" w:hAnsi="仿宋_GB2312" w:eastAsia="仿宋_GB2312" w:cs="仿宋_GB2312"/>
                <w:bCs/>
                <w:color w:val="auto"/>
                <w:kern w:val="0"/>
                <w:sz w:val="24"/>
                <w:szCs w:val="24"/>
                <w:highlight w:val="none"/>
                <w:u w:val="none"/>
                <w:lang w:val="en-US" w:eastAsia="zh-TW" w:bidi="ar-SA"/>
              </w:rPr>
              <w:t>注册电气工程师</w:t>
            </w:r>
          </w:p>
          <w:p>
            <w:pPr>
              <w:spacing w:afterLines="0" w:line="240" w:lineRule="auto"/>
              <w:jc w:val="left"/>
              <w:outlineLvl w:val="0"/>
              <w:rPr>
                <w:rFonts w:ascii="Times New Roman" w:hAnsi="Times New Roman" w:eastAsia="仿宋"/>
                <w:sz w:val="24"/>
                <w:szCs w:val="24"/>
                <w:highlight w:val="none"/>
                <w:u w:val="none"/>
              </w:rPr>
            </w:pPr>
            <w:r>
              <w:rPr>
                <w:rFonts w:hint="eastAsia" w:ascii="仿宋_GB2312" w:hAnsi="仿宋_GB2312" w:eastAsia="仿宋_GB2312" w:cs="仿宋_GB2312"/>
                <w:bCs/>
                <w:color w:val="auto"/>
                <w:kern w:val="0"/>
                <w:sz w:val="24"/>
                <w:szCs w:val="24"/>
                <w:highlight w:val="none"/>
                <w:u w:val="none"/>
                <w:lang w:val="en-US" w:eastAsia="zh-TW" w:bidi="ar-SA"/>
              </w:rPr>
              <w:t>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1019" w:hRule="atLeast"/>
        </w:trPr>
        <w:tc>
          <w:tcPr>
            <w:tcW w:w="4165" w:type="dxa"/>
            <w:tcBorders>
              <w:top w:val="dotted" w:color="000000" w:sz="4" w:space="0"/>
              <w:left w:val="nil"/>
              <w:bottom w:val="dotted" w:color="000000"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注册专业工程师（屋宇设备）</w:t>
            </w:r>
          </w:p>
          <w:p>
            <w:pPr>
              <w:spacing w:afterLines="0" w:line="240" w:lineRule="auto"/>
              <w:jc w:val="right"/>
              <w:outlineLvl w:val="0"/>
              <w:rPr>
                <w:rFonts w:hint="eastAsia" w:ascii="Times New Roman" w:hAnsi="Times New Roman" w:eastAsia="仿宋" w:cs="Times New Roman"/>
                <w:kern w:val="2"/>
                <w:sz w:val="21"/>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Engineer (Building Service)</w:t>
            </w:r>
          </w:p>
        </w:tc>
        <w:tc>
          <w:tcPr>
            <w:tcW w:w="4340" w:type="dxa"/>
            <w:tcBorders>
              <w:top w:val="dotted" w:color="000000"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注册公用设备工程师</w:t>
            </w:r>
          </w:p>
          <w:p>
            <w:pPr>
              <w:spacing w:afterLines="0" w:line="240" w:lineRule="auto"/>
              <w:jc w:val="left"/>
              <w:outlineLvl w:val="0"/>
              <w:rPr>
                <w:rFonts w:hint="eastAsia" w:ascii="Times New Roman" w:hAnsi="Times New Roman" w:eastAsia="仿宋" w:cs="Times New Roman"/>
                <w:kern w:val="2"/>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注册监理工程师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ted" w:color="000000" w:sz="4" w:space="0"/>
              <w:left w:val="nil"/>
              <w:bottom w:val="dotted" w:color="000000" w:sz="4" w:space="0"/>
              <w:right w:val="double" w:color="auto" w:sz="4" w:space="0"/>
            </w:tcBorders>
            <w:noWrap w:val="0"/>
            <w:vAlign w:val="top"/>
          </w:tcPr>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注册专业工程师（环境）</w:t>
            </w:r>
          </w:p>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 xml:space="preserve">Registered Professional Engineer </w:t>
            </w:r>
          </w:p>
          <w:p>
            <w:pPr>
              <w:spacing w:afterLines="0" w:line="240" w:lineRule="auto"/>
              <w:jc w:val="right"/>
              <w:outlineLvl w:val="0"/>
              <w:rPr>
                <w:rFonts w:hint="eastAsia" w:ascii="Times New Roman" w:hAnsi="Times New Roman" w:eastAsia="仿宋" w:cs="Times New Roman"/>
                <w:kern w:val="2"/>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(Environmental)</w:t>
            </w:r>
          </w:p>
        </w:tc>
        <w:tc>
          <w:tcPr>
            <w:tcW w:w="4340" w:type="dxa"/>
            <w:tcBorders>
              <w:top w:val="dotted" w:color="000000"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注册环保工程师</w:t>
            </w:r>
          </w:p>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CN" w:bidi="ar-SA"/>
              </w:rPr>
              <w:t>注册环评工程师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ted" w:color="000000" w:sz="4" w:space="0"/>
              <w:left w:val="nil"/>
              <w:bottom w:val="dotDash" w:color="auto" w:sz="4" w:space="0"/>
              <w:right w:val="double" w:color="auto" w:sz="4" w:space="0"/>
            </w:tcBorders>
            <w:noWrap w:val="0"/>
            <w:vAlign w:val="top"/>
          </w:tcPr>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注册专业工程师（建造）</w:t>
            </w:r>
          </w:p>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 xml:space="preserve">Registered Professional Engineer </w:t>
            </w:r>
          </w:p>
          <w:p>
            <w:pPr>
              <w:spacing w:afterLines="0" w:line="240" w:lineRule="auto"/>
              <w:jc w:val="right"/>
              <w:outlineLvl w:val="0"/>
              <w:rPr>
                <w:rFonts w:hint="eastAsia" w:ascii="Times New Roman" w:hAnsi="Times New Roman" w:eastAsia="仿宋" w:cs="Times New Roman"/>
                <w:kern w:val="2"/>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(Building)</w:t>
            </w:r>
          </w:p>
        </w:tc>
        <w:tc>
          <w:tcPr>
            <w:tcW w:w="4340" w:type="dxa"/>
            <w:tcBorders>
              <w:top w:val="dotted" w:color="000000" w:sz="4" w:space="0"/>
              <w:left w:val="double" w:color="auto" w:sz="4" w:space="0"/>
              <w:bottom w:val="dotDash" w:color="auto" w:sz="4" w:space="0"/>
              <w:right w:val="nil"/>
            </w:tcBorders>
            <w:noWrap w:val="0"/>
            <w:vAlign w:val="top"/>
          </w:tcPr>
          <w:p>
            <w:pPr>
              <w:spacing w:afterLines="0" w:line="240" w:lineRule="auto"/>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一级</w:t>
            </w:r>
            <w:r>
              <w:rPr>
                <w:rFonts w:hint="eastAsia" w:ascii="仿宋_GB2312" w:hAnsi="仿宋_GB2312" w:eastAsia="仿宋_GB2312" w:cs="仿宋_GB2312"/>
                <w:bCs/>
                <w:color w:val="auto"/>
                <w:kern w:val="0"/>
                <w:sz w:val="24"/>
                <w:szCs w:val="24"/>
                <w:highlight w:val="none"/>
                <w:lang w:val="en-US" w:eastAsia="zh-CN" w:bidi="ar-SA"/>
              </w:rPr>
              <w:t>注册</w:t>
            </w:r>
            <w:r>
              <w:rPr>
                <w:rFonts w:hint="eastAsia" w:ascii="仿宋_GB2312" w:hAnsi="仿宋_GB2312" w:eastAsia="仿宋_GB2312" w:cs="仿宋_GB2312"/>
                <w:bCs/>
                <w:color w:val="auto"/>
                <w:kern w:val="0"/>
                <w:sz w:val="24"/>
                <w:szCs w:val="24"/>
                <w:highlight w:val="none"/>
                <w:lang w:val="en-US" w:eastAsia="zh-TW" w:bidi="ar-SA"/>
              </w:rPr>
              <w:t>建造师</w:t>
            </w:r>
          </w:p>
          <w:p>
            <w:pPr>
              <w:spacing w:afterLines="0" w:line="240" w:lineRule="auto"/>
              <w:outlineLvl w:val="0"/>
              <w:rPr>
                <w:rFonts w:hint="eastAsia" w:ascii="Times New Roman" w:hAnsi="Times New Roman" w:eastAsia="仿宋" w:cs="Times New Roman"/>
                <w:kern w:val="2"/>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dotDash" w:color="auto" w:sz="4" w:space="0"/>
              <w:right w:val="double" w:color="auto" w:sz="4" w:space="0"/>
            </w:tcBorders>
            <w:noWrap w:val="0"/>
            <w:vAlign w:val="top"/>
          </w:tcPr>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注册专业测量师：</w:t>
            </w:r>
          </w:p>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Surveyor</w:t>
            </w:r>
          </w:p>
        </w:tc>
        <w:tc>
          <w:tcPr>
            <w:tcW w:w="4340" w:type="dxa"/>
            <w:tcBorders>
              <w:top w:val="dotDash" w:color="auto" w:sz="4" w:space="0"/>
              <w:left w:val="double" w:color="auto" w:sz="4" w:space="0"/>
              <w:bottom w:val="dotDash" w:color="auto" w:sz="4" w:space="0"/>
              <w:right w:val="nil"/>
            </w:tcBorders>
            <w:noWrap w:val="0"/>
            <w:vAlign w:val="top"/>
          </w:tcPr>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dotted" w:color="000000"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注册专业测量师（工料测量组）</w:t>
            </w:r>
          </w:p>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Surveyor</w:t>
            </w:r>
          </w:p>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(Quantity Surveying Division)</w:t>
            </w:r>
          </w:p>
        </w:tc>
        <w:tc>
          <w:tcPr>
            <w:tcW w:w="4340" w:type="dxa"/>
            <w:tcBorders>
              <w:top w:val="dotDash" w:color="auto" w:sz="4" w:space="0"/>
              <w:left w:val="double" w:color="auto" w:sz="4" w:space="0"/>
              <w:bottom w:val="dotted" w:color="000000"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CN" w:bidi="ar-SA"/>
              </w:rPr>
              <w:t>一级</w:t>
            </w:r>
            <w:r>
              <w:rPr>
                <w:rFonts w:hint="eastAsia" w:ascii="仿宋_GB2312" w:hAnsi="仿宋_GB2312" w:eastAsia="仿宋_GB2312" w:cs="仿宋_GB2312"/>
                <w:bCs/>
                <w:color w:val="auto"/>
                <w:kern w:val="0"/>
                <w:sz w:val="24"/>
                <w:szCs w:val="24"/>
                <w:highlight w:val="none"/>
                <w:lang w:val="en-US" w:eastAsia="zh-TW" w:bidi="ar-SA"/>
              </w:rPr>
              <w:t>注册造价工程师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ted" w:color="000000" w:sz="4" w:space="0"/>
              <w:left w:val="nil"/>
              <w:bottom w:val="single" w:color="000000" w:sz="12"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注册专业测量师（建筑测量组）</w:t>
            </w:r>
          </w:p>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Surveyor</w:t>
            </w:r>
          </w:p>
          <w:p>
            <w:pPr>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(Building Surveying Division)</w:t>
            </w:r>
          </w:p>
        </w:tc>
        <w:tc>
          <w:tcPr>
            <w:tcW w:w="4340" w:type="dxa"/>
            <w:tcBorders>
              <w:top w:val="dotted" w:color="000000" w:sz="4" w:space="0"/>
              <w:left w:val="double" w:color="auto" w:sz="4" w:space="0"/>
              <w:bottom w:val="single" w:color="000000" w:sz="12"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注册监理工程师</w:t>
            </w:r>
          </w:p>
        </w:tc>
      </w:tr>
    </w:tbl>
    <w:p>
      <w:pPr>
        <w:pStyle w:val="4"/>
        <w:numPr>
          <w:ilvl w:val="0"/>
          <w:numId w:val="0"/>
        </w:numPr>
        <w:spacing w:before="0" w:after="0" w:afterLines="0" w:line="240" w:lineRule="auto"/>
        <w:jc w:val="left"/>
        <w:rPr>
          <w:rFonts w:hint="eastAsia" w:ascii="仿宋_GB2312" w:hAnsi="仿宋_GB2312" w:eastAsia="仿宋_GB2312" w:cs="仿宋_GB2312"/>
          <w:bCs/>
          <w:color w:val="auto"/>
          <w:kern w:val="0"/>
          <w:sz w:val="24"/>
          <w:szCs w:val="24"/>
          <w:highlight w:val="none"/>
          <w:lang w:val="en-US" w:eastAsia="zh-Hans" w:bidi="ar-SA"/>
        </w:rPr>
      </w:pPr>
    </w:p>
    <w:tbl>
      <w:tblPr>
        <w:tblStyle w:val="9"/>
        <w:tblW w:w="85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5" w:type="dxa"/>
          <w:left w:w="108" w:type="dxa"/>
          <w:bottom w:w="45" w:type="dxa"/>
          <w:right w:w="108" w:type="dxa"/>
        </w:tblCellMar>
      </w:tblPr>
      <w:tblGrid>
        <w:gridCol w:w="4165"/>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410" w:hRule="atLeast"/>
          <w:tblHeader/>
        </w:trPr>
        <w:tc>
          <w:tcPr>
            <w:tcW w:w="4165" w:type="dxa"/>
            <w:tcBorders>
              <w:top w:val="single" w:color="auto" w:sz="12" w:space="0"/>
              <w:left w:val="nil"/>
              <w:bottom w:val="single" w:color="auto" w:sz="12" w:space="0"/>
              <w:right w:val="double" w:color="auto" w:sz="4" w:space="0"/>
            </w:tcBorders>
            <w:noWrap w:val="0"/>
            <w:vAlign w:val="top"/>
          </w:tcPr>
          <w:p>
            <w:pPr>
              <w:spacing w:afterLines="0" w:line="560" w:lineRule="exact"/>
              <w:jc w:val="center"/>
              <w:outlineLvl w:val="0"/>
              <w:rPr>
                <w:rFonts w:hint="eastAsia" w:ascii="仿宋_GB2312" w:hAnsi="仿宋_GB2312" w:eastAsia="仿宋_GB2312" w:cs="仿宋_GB2312"/>
                <w:b/>
                <w:bCs/>
                <w:szCs w:val="24"/>
                <w:highlight w:val="none"/>
              </w:rPr>
            </w:pPr>
            <w:r>
              <w:rPr>
                <w:rFonts w:hint="eastAsia" w:ascii="仿宋_GB2312" w:hAnsi="仿宋_GB2312" w:eastAsia="仿宋_GB2312" w:cs="仿宋_GB2312"/>
                <w:b/>
                <w:bCs/>
                <w:color w:val="auto"/>
                <w:kern w:val="44"/>
                <w:sz w:val="24"/>
                <w:szCs w:val="24"/>
                <w:highlight w:val="none"/>
                <w:lang w:val="en-US" w:eastAsia="zh-CN" w:bidi="ar-SA"/>
              </w:rPr>
              <w:t>香港专业人士执业资格</w:t>
            </w:r>
          </w:p>
        </w:tc>
        <w:tc>
          <w:tcPr>
            <w:tcW w:w="4340" w:type="dxa"/>
            <w:tcBorders>
              <w:top w:val="single" w:color="auto" w:sz="12" w:space="0"/>
              <w:left w:val="double" w:color="auto" w:sz="4" w:space="0"/>
              <w:bottom w:val="single" w:color="auto" w:sz="12" w:space="0"/>
              <w:right w:val="nil"/>
            </w:tcBorders>
            <w:noWrap w:val="0"/>
            <w:vAlign w:val="top"/>
          </w:tcPr>
          <w:p>
            <w:pPr>
              <w:spacing w:afterLines="0" w:line="560" w:lineRule="exact"/>
              <w:jc w:val="center"/>
              <w:outlineLvl w:val="0"/>
              <w:rPr>
                <w:rFonts w:hint="eastAsia" w:ascii="仿宋_GB2312" w:hAnsi="仿宋_GB2312" w:eastAsia="仿宋_GB2312" w:cs="仿宋_GB2312"/>
                <w:b/>
                <w:bCs/>
                <w:szCs w:val="24"/>
                <w:highlight w:val="none"/>
                <w:lang w:eastAsia="zh-TW"/>
              </w:rPr>
            </w:pPr>
            <w:r>
              <w:rPr>
                <w:rFonts w:hint="eastAsia" w:ascii="仿宋_GB2312" w:hAnsi="仿宋_GB2312" w:eastAsia="仿宋_GB2312" w:cs="仿宋_GB2312"/>
                <w:b/>
                <w:bCs/>
                <w:color w:val="auto"/>
                <w:kern w:val="44"/>
                <w:sz w:val="24"/>
                <w:szCs w:val="24"/>
                <w:highlight w:val="none"/>
                <w:lang w:val="en-US" w:eastAsia="zh-TW" w:bidi="ar-SA"/>
              </w:rPr>
              <w:t>对应内地执业资格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single" w:color="000000" w:sz="12" w:space="0"/>
              <w:left w:val="nil"/>
              <w:bottom w:val="dotDash" w:color="auto" w:sz="4" w:space="0"/>
              <w:right w:val="double" w:color="auto" w:sz="4" w:space="0"/>
            </w:tcBorders>
            <w:noWrap w:val="0"/>
            <w:vAlign w:val="top"/>
          </w:tcPr>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注册专业测量师（产业测量组）</w:t>
            </w:r>
          </w:p>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Surveyor</w:t>
            </w:r>
          </w:p>
          <w:p>
            <w:pPr>
              <w:adjustRightInd/>
              <w:snapToGrid/>
              <w:spacing w:afterLines="0" w:line="240" w:lineRule="auto"/>
              <w:jc w:val="righ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(General Practice Division)</w:t>
            </w:r>
          </w:p>
        </w:tc>
        <w:tc>
          <w:tcPr>
            <w:tcW w:w="4340" w:type="dxa"/>
            <w:tcBorders>
              <w:top w:val="single" w:color="000000" w:sz="12" w:space="0"/>
              <w:left w:val="double" w:color="auto" w:sz="4" w:space="0"/>
              <w:bottom w:val="dotDash" w:color="auto"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注册房地产估价师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dotDash" w:color="auto" w:sz="4" w:space="0"/>
              <w:right w:val="double" w:color="auto" w:sz="4" w:space="0"/>
            </w:tcBorders>
            <w:noWrap w:val="0"/>
            <w:vAlign w:val="top"/>
          </w:tcPr>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TW" w:bidi="ar-SA"/>
              </w:rPr>
              <w:t>注册专业规划师</w:t>
            </w:r>
          </w:p>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Registered Professional Planner</w:t>
            </w:r>
          </w:p>
        </w:tc>
        <w:tc>
          <w:tcPr>
            <w:tcW w:w="4340" w:type="dxa"/>
            <w:tcBorders>
              <w:top w:val="dotDash" w:color="auto" w:sz="4" w:space="0"/>
              <w:left w:val="double" w:color="auto" w:sz="4" w:space="0"/>
              <w:bottom w:val="dotDash" w:color="auto"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TW" w:bidi="ar-SA"/>
              </w:rPr>
              <w:t>注册城乡规划师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dotDash" w:color="auto" w:sz="4" w:space="0"/>
              <w:right w:val="double" w:color="auto" w:sz="4" w:space="0"/>
            </w:tcBorders>
            <w:noWrap w:val="0"/>
            <w:vAlign w:val="top"/>
          </w:tcPr>
          <w:p>
            <w:pPr>
              <w:adjustRightInd/>
              <w:snapToGrid/>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注册承建商的获授权签署人</w:t>
            </w:r>
          </w:p>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Authorized Signatory of the Registered General Building Contractor or the Registered Specialist Contractor</w:t>
            </w:r>
          </w:p>
        </w:tc>
        <w:tc>
          <w:tcPr>
            <w:tcW w:w="4340" w:type="dxa"/>
            <w:tcBorders>
              <w:top w:val="dotDash" w:color="auto" w:sz="4" w:space="0"/>
              <w:left w:val="double" w:color="auto" w:sz="4" w:space="0"/>
              <w:bottom w:val="dotDash" w:color="auto"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一级</w:t>
            </w:r>
            <w:r>
              <w:rPr>
                <w:rFonts w:hint="eastAsia" w:ascii="仿宋_GB2312" w:hAnsi="仿宋_GB2312" w:eastAsia="仿宋_GB2312" w:cs="仿宋_GB2312"/>
                <w:bCs/>
                <w:color w:val="auto"/>
                <w:kern w:val="0"/>
                <w:sz w:val="24"/>
                <w:szCs w:val="24"/>
                <w:highlight w:val="none"/>
                <w:lang w:val="en-US" w:eastAsia="zh-CN" w:bidi="ar-SA"/>
              </w:rPr>
              <w:t>注册</w:t>
            </w:r>
            <w:r>
              <w:rPr>
                <w:rFonts w:hint="eastAsia" w:ascii="仿宋_GB2312" w:hAnsi="仿宋_GB2312" w:eastAsia="仿宋_GB2312" w:cs="仿宋_GB2312"/>
                <w:bCs/>
                <w:color w:val="auto"/>
                <w:kern w:val="0"/>
                <w:sz w:val="24"/>
                <w:szCs w:val="24"/>
                <w:highlight w:val="none"/>
                <w:lang w:val="en-US" w:eastAsia="zh-TW" w:bidi="ar-SA"/>
              </w:rPr>
              <w:t>建造师</w:t>
            </w:r>
          </w:p>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TW" w:bidi="ar-SA"/>
              </w:rPr>
              <w:t>A类或</w:t>
            </w:r>
            <w:r>
              <w:rPr>
                <w:rFonts w:hint="eastAsia" w:ascii="仿宋_GB2312" w:hAnsi="仿宋_GB2312" w:eastAsia="仿宋_GB2312" w:cs="仿宋_GB2312"/>
                <w:bCs/>
                <w:color w:val="auto"/>
                <w:kern w:val="0"/>
                <w:sz w:val="24"/>
                <w:szCs w:val="24"/>
                <w:highlight w:val="none"/>
                <w:lang w:val="en-US" w:eastAsia="zh-Hans" w:bidi="ar-SA"/>
              </w:rPr>
              <w:t>B类）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dotDash" w:color="auto" w:sz="4" w:space="0"/>
              <w:right w:val="double" w:color="auto" w:sz="4" w:space="0"/>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注册承建商企业负责人</w:t>
            </w:r>
          </w:p>
        </w:tc>
        <w:tc>
          <w:tcPr>
            <w:tcW w:w="4340" w:type="dxa"/>
            <w:tcBorders>
              <w:top w:val="dotDash" w:color="auto" w:sz="4" w:space="0"/>
              <w:left w:val="double" w:color="auto" w:sz="4" w:space="0"/>
              <w:bottom w:val="dotDash" w:color="auto" w:sz="4"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TW" w:bidi="ar-SA"/>
              </w:rPr>
              <w:t>A</w:t>
            </w:r>
            <w:r>
              <w:rPr>
                <w:rFonts w:hint="eastAsia" w:ascii="仿宋_GB2312" w:hAnsi="仿宋_GB2312" w:eastAsia="仿宋_GB2312" w:cs="仿宋_GB2312"/>
                <w:bCs/>
                <w:color w:val="auto"/>
                <w:kern w:val="0"/>
                <w:sz w:val="24"/>
                <w:szCs w:val="24"/>
                <w:highlight w:val="none"/>
                <w:lang w:val="en-US" w:eastAsia="zh-Hans" w:bidi="ar-SA"/>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108" w:type="dxa"/>
            <w:bottom w:w="45" w:type="dxa"/>
            <w:right w:w="108" w:type="dxa"/>
          </w:tblCellMar>
        </w:tblPrEx>
        <w:trPr>
          <w:trHeight w:val="90" w:hRule="atLeast"/>
        </w:trPr>
        <w:tc>
          <w:tcPr>
            <w:tcW w:w="4165" w:type="dxa"/>
            <w:tcBorders>
              <w:top w:val="dotDash" w:color="auto" w:sz="4" w:space="0"/>
              <w:left w:val="nil"/>
              <w:bottom w:val="single" w:color="auto" w:sz="12" w:space="0"/>
              <w:right w:val="double" w:color="auto" w:sz="4" w:space="0"/>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TW" w:bidi="ar-SA"/>
              </w:rPr>
              <w:t>注册安全主任</w:t>
            </w:r>
          </w:p>
        </w:tc>
        <w:tc>
          <w:tcPr>
            <w:tcW w:w="4340" w:type="dxa"/>
            <w:tcBorders>
              <w:top w:val="dotDash" w:color="auto" w:sz="4" w:space="0"/>
              <w:left w:val="double" w:color="auto" w:sz="4" w:space="0"/>
              <w:bottom w:val="single" w:color="auto" w:sz="12" w:space="0"/>
              <w:right w:val="nil"/>
            </w:tcBorders>
            <w:noWrap w:val="0"/>
            <w:vAlign w:val="top"/>
          </w:tcPr>
          <w:p>
            <w:pPr>
              <w:spacing w:afterLines="0" w:line="240" w:lineRule="auto"/>
              <w:jc w:val="left"/>
              <w:outlineLvl w:val="0"/>
              <w:rPr>
                <w:rFonts w:hint="eastAsia" w:ascii="仿宋_GB2312" w:hAnsi="仿宋_GB2312" w:eastAsia="仿宋_GB2312" w:cs="仿宋_GB2312"/>
                <w:bCs/>
                <w:color w:val="auto"/>
                <w:kern w:val="0"/>
                <w:sz w:val="24"/>
                <w:szCs w:val="24"/>
                <w:highlight w:val="none"/>
                <w:lang w:val="en-US" w:eastAsia="zh-TW" w:bidi="ar-SA"/>
              </w:rPr>
            </w:pP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TW" w:bidi="ar-SA"/>
              </w:rPr>
              <w:t>C</w:t>
            </w:r>
            <w:r>
              <w:rPr>
                <w:rFonts w:hint="eastAsia" w:ascii="仿宋_GB2312" w:hAnsi="仿宋_GB2312" w:eastAsia="仿宋_GB2312" w:cs="仿宋_GB2312"/>
                <w:bCs/>
                <w:color w:val="auto"/>
                <w:kern w:val="0"/>
                <w:sz w:val="24"/>
                <w:szCs w:val="24"/>
                <w:highlight w:val="none"/>
                <w:lang w:val="en-US" w:eastAsia="zh-Hans" w:bidi="ar-SA"/>
              </w:rPr>
              <w:t>类）</w:t>
            </w:r>
          </w:p>
        </w:tc>
      </w:tr>
    </w:tbl>
    <w:p>
      <w:pPr>
        <w:pStyle w:val="4"/>
        <w:numPr>
          <w:ilvl w:val="0"/>
          <w:numId w:val="0"/>
        </w:numPr>
        <w:spacing w:before="0" w:after="0" w:afterLines="0" w:line="240" w:lineRule="auto"/>
        <w:jc w:val="left"/>
        <w:rPr>
          <w:rFonts w:hint="eastAsia" w:ascii="仿宋_GB2312" w:hAnsi="仿宋_GB2312" w:eastAsia="仿宋_GB2312" w:cs="仿宋_GB2312"/>
          <w:bCs/>
          <w:color w:val="auto"/>
          <w:kern w:val="0"/>
          <w:sz w:val="24"/>
          <w:szCs w:val="24"/>
          <w:highlight w:val="none"/>
          <w:lang w:val="en-US" w:eastAsia="zh-Hans" w:bidi="ar-SA"/>
        </w:rPr>
      </w:pPr>
      <w:r>
        <w:rPr>
          <w:rFonts w:hint="eastAsia" w:ascii="仿宋_GB2312" w:hAnsi="仿宋_GB2312" w:eastAsia="仿宋_GB2312" w:cs="仿宋_GB2312"/>
          <w:bCs/>
          <w:color w:val="auto"/>
          <w:kern w:val="0"/>
          <w:sz w:val="24"/>
          <w:szCs w:val="24"/>
          <w:highlight w:val="none"/>
          <w:lang w:val="en-US" w:eastAsia="zh-Hans" w:bidi="ar-SA"/>
        </w:rPr>
        <w:t>注1：注册承建商主要负责人是指对企业生产经营活动和安全生产具有决策权的领导者如董事长、总裁（总经理）、副总裁（副总经理）、技术总监、安全总监。</w:t>
      </w:r>
    </w:p>
    <w:p>
      <w:pPr>
        <w:spacing w:line="240" w:lineRule="auto"/>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注2：内地执业资格中注册土木工程师、注册监理工程师、注册建造师、</w:t>
      </w:r>
      <w:r>
        <w:rPr>
          <w:rFonts w:hint="eastAsia" w:ascii="仿宋_GB2312" w:hAnsi="仿宋_GB2312" w:eastAsia="仿宋_GB2312" w:cs="仿宋_GB2312"/>
          <w:bCs/>
          <w:color w:val="auto"/>
          <w:kern w:val="0"/>
          <w:sz w:val="24"/>
          <w:szCs w:val="24"/>
          <w:highlight w:val="none"/>
          <w:lang w:val="en-US" w:eastAsia="zh-TW" w:bidi="ar-SA"/>
        </w:rPr>
        <w:t>注册公用设备工程师</w:t>
      </w:r>
      <w:r>
        <w:rPr>
          <w:rFonts w:hint="eastAsia" w:ascii="仿宋_GB2312" w:hAnsi="仿宋_GB2312" w:eastAsia="仿宋_GB2312" w:cs="仿宋_GB2312"/>
          <w:bCs/>
          <w:color w:val="auto"/>
          <w:kern w:val="0"/>
          <w:sz w:val="24"/>
          <w:szCs w:val="24"/>
          <w:highlight w:val="none"/>
          <w:lang w:val="en-US" w:eastAsia="zh-CN" w:bidi="ar-SA"/>
        </w:rPr>
        <w:t>、注册造价工程师区分不同专业的，香港专业人士对标内地执业资格时应遵从仅可从事与</w:t>
      </w:r>
      <w:bookmarkStart w:id="0" w:name="_GoBack"/>
      <w:bookmarkEnd w:id="0"/>
      <w:r>
        <w:rPr>
          <w:rFonts w:hint="eastAsia" w:ascii="仿宋_GB2312" w:hAnsi="仿宋_GB2312" w:eastAsia="仿宋_GB2312" w:cs="仿宋_GB2312"/>
          <w:bCs/>
          <w:color w:val="auto"/>
          <w:kern w:val="0"/>
          <w:sz w:val="24"/>
          <w:szCs w:val="24"/>
          <w:highlight w:val="none"/>
          <w:lang w:val="en-US" w:eastAsia="zh-CN" w:bidi="ar-SA"/>
        </w:rPr>
        <w:t>在港执业同等专业的工程类别。对于注册承建商的获授权签署人对标内地一级注册建造师仅可从事与在港注册的公司业务对应的工程类别。</w:t>
      </w:r>
    </w:p>
    <w:p>
      <w:pPr>
        <w:spacing w:line="240" w:lineRule="auto"/>
        <w:rPr>
          <w:rFonts w:hint="eastAsia" w:ascii="仿宋_GB2312" w:hAnsi="仿宋_GB2312" w:eastAsia="仿宋_GB2312" w:cs="仿宋_GB2312"/>
          <w:bCs/>
          <w:color w:val="auto"/>
          <w:kern w:val="0"/>
          <w:sz w:val="24"/>
          <w:szCs w:val="24"/>
          <w:highlight w:val="none"/>
          <w:lang w:val="en-US" w:eastAsia="zh-CN" w:bidi="ar-SA"/>
        </w:rPr>
      </w:pPr>
      <w:r>
        <w:rPr>
          <w:rFonts w:hint="eastAsia" w:ascii="仿宋_GB2312" w:hAnsi="仿宋_GB2312" w:eastAsia="仿宋_GB2312" w:cs="仿宋_GB2312"/>
          <w:bCs/>
          <w:color w:val="auto"/>
          <w:kern w:val="0"/>
          <w:sz w:val="24"/>
          <w:szCs w:val="24"/>
          <w:highlight w:val="none"/>
          <w:lang w:val="en-US" w:eastAsia="zh-CN" w:bidi="ar-SA"/>
        </w:rPr>
        <w:t>注3：申请</w:t>
      </w: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CN" w:bidi="ar-SA"/>
        </w:rPr>
        <w:t>证书的专业人士需在注册</w:t>
      </w:r>
      <w:r>
        <w:rPr>
          <w:rFonts w:hint="eastAsia" w:ascii="仿宋_GB2312" w:hAnsi="仿宋_GB2312" w:eastAsia="仿宋_GB2312" w:cs="仿宋_GB2312"/>
          <w:bCs/>
          <w:color w:val="auto"/>
          <w:kern w:val="0"/>
          <w:sz w:val="24"/>
          <w:szCs w:val="24"/>
          <w:highlight w:val="none"/>
          <w:lang w:val="en-US" w:eastAsia="zh-Hans" w:bidi="ar-SA"/>
        </w:rPr>
        <w:t>承建商</w:t>
      </w:r>
      <w:r>
        <w:rPr>
          <w:rFonts w:hint="eastAsia" w:ascii="仿宋_GB2312" w:hAnsi="仿宋_GB2312" w:eastAsia="仿宋_GB2312" w:cs="仿宋_GB2312"/>
          <w:bCs/>
          <w:color w:val="auto"/>
          <w:kern w:val="0"/>
          <w:sz w:val="24"/>
          <w:szCs w:val="24"/>
          <w:highlight w:val="none"/>
          <w:lang w:val="en-US" w:eastAsia="zh-CN" w:bidi="ar-SA"/>
        </w:rPr>
        <w:t>企业任职。</w:t>
      </w:r>
      <w:r>
        <w:rPr>
          <w:rFonts w:hint="eastAsia" w:ascii="仿宋_GB2312" w:hAnsi="仿宋_GB2312" w:eastAsia="仿宋_GB2312" w:cs="仿宋_GB2312"/>
          <w:bCs/>
          <w:color w:val="auto"/>
          <w:kern w:val="0"/>
          <w:sz w:val="24"/>
          <w:szCs w:val="24"/>
          <w:highlight w:val="none"/>
          <w:lang w:val="en-US" w:eastAsia="zh-TW" w:bidi="ar-SA"/>
        </w:rPr>
        <w:t>注册承建商的获授权签署人</w:t>
      </w:r>
      <w:r>
        <w:rPr>
          <w:rFonts w:hint="eastAsia" w:ascii="仿宋_GB2312" w:hAnsi="仿宋_GB2312" w:eastAsia="仿宋_GB2312" w:cs="仿宋_GB2312"/>
          <w:bCs/>
          <w:color w:val="auto"/>
          <w:kern w:val="0"/>
          <w:sz w:val="24"/>
          <w:szCs w:val="24"/>
          <w:highlight w:val="none"/>
          <w:lang w:val="en-US" w:eastAsia="zh-CN" w:bidi="ar-SA"/>
        </w:rPr>
        <w:t>根据实际担任职务情况申请</w:t>
      </w: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CN" w:bidi="ar-SA"/>
        </w:rPr>
        <w:t>证书类别，担任</w:t>
      </w:r>
      <w:r>
        <w:rPr>
          <w:rFonts w:hint="eastAsia" w:ascii="仿宋_GB2312" w:hAnsi="仿宋_GB2312" w:eastAsia="仿宋_GB2312" w:cs="仿宋_GB2312"/>
          <w:bCs/>
          <w:color w:val="auto"/>
          <w:kern w:val="0"/>
          <w:sz w:val="24"/>
          <w:szCs w:val="24"/>
          <w:highlight w:val="none"/>
          <w:lang w:val="en-US" w:eastAsia="zh-TW" w:bidi="ar-SA"/>
        </w:rPr>
        <w:t>注册承建商</w:t>
      </w:r>
      <w:r>
        <w:rPr>
          <w:rFonts w:hint="eastAsia" w:ascii="仿宋_GB2312" w:hAnsi="仿宋_GB2312" w:eastAsia="仿宋_GB2312" w:cs="仿宋_GB2312"/>
          <w:bCs/>
          <w:color w:val="auto"/>
          <w:kern w:val="0"/>
          <w:sz w:val="24"/>
          <w:szCs w:val="24"/>
          <w:highlight w:val="none"/>
          <w:lang w:val="en-US" w:eastAsia="zh-Hans" w:bidi="ar-SA"/>
        </w:rPr>
        <w:t>主要负责人</w:t>
      </w:r>
      <w:r>
        <w:rPr>
          <w:rFonts w:hint="eastAsia" w:ascii="仿宋_GB2312" w:hAnsi="仿宋_GB2312" w:eastAsia="仿宋_GB2312" w:cs="仿宋_GB2312"/>
          <w:bCs/>
          <w:color w:val="auto"/>
          <w:kern w:val="0"/>
          <w:sz w:val="24"/>
          <w:szCs w:val="24"/>
          <w:highlight w:val="none"/>
          <w:lang w:val="en-US" w:eastAsia="zh-CN" w:bidi="ar-SA"/>
        </w:rPr>
        <w:t>的，可申请办理</w:t>
      </w: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TW" w:bidi="ar-SA"/>
        </w:rPr>
        <w:t>A</w:t>
      </w:r>
      <w:r>
        <w:rPr>
          <w:rFonts w:hint="eastAsia" w:ascii="仿宋_GB2312" w:hAnsi="仿宋_GB2312" w:eastAsia="仿宋_GB2312" w:cs="仿宋_GB2312"/>
          <w:bCs/>
          <w:color w:val="auto"/>
          <w:kern w:val="0"/>
          <w:sz w:val="24"/>
          <w:szCs w:val="24"/>
          <w:highlight w:val="none"/>
          <w:lang w:val="en-US" w:eastAsia="zh-Hans" w:bidi="ar-SA"/>
        </w:rPr>
        <w:t>类）</w:t>
      </w:r>
      <w:r>
        <w:rPr>
          <w:rFonts w:hint="eastAsia" w:ascii="仿宋_GB2312" w:hAnsi="仿宋_GB2312" w:eastAsia="仿宋_GB2312" w:cs="仿宋_GB2312"/>
          <w:bCs/>
          <w:color w:val="auto"/>
          <w:kern w:val="0"/>
          <w:sz w:val="24"/>
          <w:szCs w:val="24"/>
          <w:highlight w:val="none"/>
          <w:lang w:val="en-US" w:eastAsia="zh-CN" w:bidi="ar-SA"/>
        </w:rPr>
        <w:t>，担任</w:t>
      </w:r>
      <w:r>
        <w:rPr>
          <w:rFonts w:hint="eastAsia" w:ascii="仿宋_GB2312" w:hAnsi="仿宋_GB2312" w:eastAsia="仿宋_GB2312" w:cs="仿宋_GB2312"/>
          <w:bCs/>
          <w:color w:val="auto"/>
          <w:kern w:val="0"/>
          <w:sz w:val="24"/>
          <w:szCs w:val="24"/>
          <w:highlight w:val="none"/>
          <w:lang w:val="en-US" w:eastAsia="zh-TW" w:bidi="ar-SA"/>
        </w:rPr>
        <w:t>注册承建商</w:t>
      </w:r>
      <w:r>
        <w:rPr>
          <w:rFonts w:hint="eastAsia" w:ascii="仿宋_GB2312" w:hAnsi="仿宋_GB2312" w:eastAsia="仿宋_GB2312" w:cs="仿宋_GB2312"/>
          <w:bCs/>
          <w:color w:val="auto"/>
          <w:kern w:val="0"/>
          <w:sz w:val="24"/>
          <w:szCs w:val="24"/>
          <w:highlight w:val="none"/>
          <w:lang w:val="en-US" w:eastAsia="zh-CN" w:bidi="ar-SA"/>
        </w:rPr>
        <w:t>项目</w:t>
      </w:r>
      <w:r>
        <w:rPr>
          <w:rFonts w:hint="eastAsia" w:ascii="仿宋_GB2312" w:hAnsi="仿宋_GB2312" w:eastAsia="仿宋_GB2312" w:cs="仿宋_GB2312"/>
          <w:bCs/>
          <w:color w:val="auto"/>
          <w:kern w:val="0"/>
          <w:sz w:val="24"/>
          <w:szCs w:val="24"/>
          <w:highlight w:val="none"/>
          <w:lang w:val="en-US" w:eastAsia="zh-Hans" w:bidi="ar-SA"/>
        </w:rPr>
        <w:t>负责人</w:t>
      </w:r>
      <w:r>
        <w:rPr>
          <w:rFonts w:hint="eastAsia" w:ascii="仿宋_GB2312" w:hAnsi="仿宋_GB2312" w:eastAsia="仿宋_GB2312" w:cs="仿宋_GB2312"/>
          <w:bCs/>
          <w:color w:val="auto"/>
          <w:kern w:val="0"/>
          <w:sz w:val="24"/>
          <w:szCs w:val="24"/>
          <w:highlight w:val="none"/>
          <w:lang w:val="en-US" w:eastAsia="zh-CN" w:bidi="ar-SA"/>
        </w:rPr>
        <w:t>的，可申请办理</w:t>
      </w:r>
      <w:r>
        <w:rPr>
          <w:rFonts w:hint="eastAsia" w:ascii="仿宋_GB2312" w:hAnsi="仿宋_GB2312" w:eastAsia="仿宋_GB2312" w:cs="仿宋_GB2312"/>
          <w:bCs/>
          <w:color w:val="auto"/>
          <w:kern w:val="0"/>
          <w:sz w:val="24"/>
          <w:szCs w:val="24"/>
          <w:highlight w:val="none"/>
          <w:lang w:val="en-US" w:eastAsia="zh-Hans" w:bidi="ar-SA"/>
        </w:rPr>
        <w:t>建筑施工企业安全生产管理人员（</w:t>
      </w:r>
      <w:r>
        <w:rPr>
          <w:rFonts w:hint="eastAsia" w:ascii="仿宋_GB2312" w:hAnsi="仿宋_GB2312" w:eastAsia="仿宋_GB2312" w:cs="仿宋_GB2312"/>
          <w:bCs/>
          <w:color w:val="auto"/>
          <w:kern w:val="0"/>
          <w:sz w:val="24"/>
          <w:szCs w:val="24"/>
          <w:highlight w:val="none"/>
          <w:lang w:val="en-US" w:eastAsia="zh-CN" w:bidi="ar-SA"/>
        </w:rPr>
        <w:t>B</w:t>
      </w:r>
      <w:r>
        <w:rPr>
          <w:rFonts w:hint="eastAsia" w:ascii="仿宋_GB2312" w:hAnsi="仿宋_GB2312" w:eastAsia="仿宋_GB2312" w:cs="仿宋_GB2312"/>
          <w:bCs/>
          <w:color w:val="auto"/>
          <w:kern w:val="0"/>
          <w:sz w:val="24"/>
          <w:szCs w:val="24"/>
          <w:highlight w:val="none"/>
          <w:lang w:val="en-US" w:eastAsia="zh-Hans" w:bidi="ar-SA"/>
        </w:rPr>
        <w:t>类）</w:t>
      </w:r>
      <w:r>
        <w:rPr>
          <w:rFonts w:hint="eastAsia" w:ascii="仿宋_GB2312" w:hAnsi="仿宋_GB2312" w:eastAsia="仿宋_GB2312" w:cs="仿宋_GB2312"/>
          <w:bCs/>
          <w:color w:val="auto"/>
          <w:kern w:val="0"/>
          <w:sz w:val="24"/>
          <w:szCs w:val="24"/>
          <w:highlight w:val="none"/>
          <w:lang w:val="en-US" w:eastAsia="zh-CN" w:bidi="ar-SA"/>
        </w:rPr>
        <w:t>。</w:t>
      </w:r>
    </w:p>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40"/>
                      </w:rPr>
                      <w:fldChar w:fldCharType="begin"/>
                    </w:r>
                    <w:r>
                      <w:rPr>
                        <w:rFonts w:hint="eastAsia" w:asciiTheme="minorEastAsia" w:hAnsiTheme="minorEastAsia" w:eastAsiaTheme="minorEastAsia" w:cstheme="minorEastAsia"/>
                        <w:sz w:val="28"/>
                        <w:szCs w:val="40"/>
                      </w:rPr>
                      <w:instrText xml:space="preserve"> PAGE  \* MERGEFORMAT </w:instrText>
                    </w:r>
                    <w:r>
                      <w:rPr>
                        <w:rFonts w:hint="eastAsia" w:asciiTheme="minorEastAsia" w:hAnsiTheme="minorEastAsia" w:eastAsiaTheme="minorEastAsia" w:cstheme="minorEastAsia"/>
                        <w:sz w:val="28"/>
                        <w:szCs w:val="40"/>
                      </w:rPr>
                      <w:fldChar w:fldCharType="separate"/>
                    </w:r>
                    <w:r>
                      <w:rPr>
                        <w:rFonts w:hint="eastAsia" w:asciiTheme="minorEastAsia" w:hAnsiTheme="minorEastAsia" w:eastAsiaTheme="minorEastAsia" w:cstheme="minorEastAsia"/>
                        <w:sz w:val="28"/>
                        <w:szCs w:val="40"/>
                      </w:rPr>
                      <w:t>1</w:t>
                    </w:r>
                    <w:r>
                      <w:rPr>
                        <w:rFonts w:hint="eastAsia" w:asciiTheme="minorEastAsia" w:hAnsiTheme="minorEastAsia" w:eastAsiaTheme="minorEastAsia" w:cstheme="minorEastAsia"/>
                        <w:sz w:val="28"/>
                        <w:szCs w:val="4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35CBA"/>
    <w:multiLevelType w:val="multilevel"/>
    <w:tmpl w:val="0B235CBA"/>
    <w:lvl w:ilvl="0" w:tentative="0">
      <w:start w:val="1"/>
      <w:numFmt w:val="chineseCountingThousand"/>
      <w:lvlText w:val="第%1条"/>
      <w:lvlJc w:val="left"/>
      <w:pPr>
        <w:ind w:left="1838" w:hanging="420"/>
      </w:pPr>
    </w:lvl>
    <w:lvl w:ilvl="1" w:tentative="0">
      <w:start w:val="9"/>
      <w:numFmt w:val="chineseCountingThousand"/>
      <w:pStyle w:val="5"/>
      <w:lvlText w:val="第%2条"/>
      <w:lvlJc w:val="left"/>
      <w:pPr>
        <w:tabs>
          <w:tab w:val="left" w:pos="2480"/>
        </w:tabs>
        <w:ind w:left="2900" w:hanging="420"/>
      </w:pPr>
      <w:rPr>
        <w:b/>
        <w:lang w:val="en-US"/>
      </w:rPr>
    </w:lvl>
    <w:lvl w:ilvl="2" w:tentative="0">
      <w:start w:val="1"/>
      <w:numFmt w:val="lowerRoman"/>
      <w:lvlText w:val="%3."/>
      <w:lvlJc w:val="right"/>
      <w:pPr>
        <w:ind w:left="2038" w:hanging="420"/>
      </w:pPr>
    </w:lvl>
    <w:lvl w:ilvl="3" w:tentative="0">
      <w:start w:val="1"/>
      <w:numFmt w:val="decimal"/>
      <w:lvlText w:val="%4."/>
      <w:lvlJc w:val="left"/>
      <w:pPr>
        <w:ind w:left="2458" w:hanging="420"/>
      </w:pPr>
    </w:lvl>
    <w:lvl w:ilvl="4" w:tentative="0">
      <w:start w:val="1"/>
      <w:numFmt w:val="lowerLetter"/>
      <w:lvlText w:val="%5)"/>
      <w:lvlJc w:val="left"/>
      <w:pPr>
        <w:ind w:left="2878" w:hanging="420"/>
      </w:pPr>
    </w:lvl>
    <w:lvl w:ilvl="5" w:tentative="0">
      <w:start w:val="1"/>
      <w:numFmt w:val="lowerRoman"/>
      <w:lvlText w:val="%6."/>
      <w:lvlJc w:val="right"/>
      <w:pPr>
        <w:ind w:left="3298" w:hanging="420"/>
      </w:pPr>
    </w:lvl>
    <w:lvl w:ilvl="6" w:tentative="0">
      <w:start w:val="1"/>
      <w:numFmt w:val="decimal"/>
      <w:lvlText w:val="%7."/>
      <w:lvlJc w:val="left"/>
      <w:pPr>
        <w:ind w:left="3718" w:hanging="420"/>
      </w:pPr>
    </w:lvl>
    <w:lvl w:ilvl="7" w:tentative="0">
      <w:start w:val="1"/>
      <w:numFmt w:val="lowerLetter"/>
      <w:lvlText w:val="%8)"/>
      <w:lvlJc w:val="left"/>
      <w:pPr>
        <w:ind w:left="4138" w:hanging="420"/>
      </w:pPr>
    </w:lvl>
    <w:lvl w:ilvl="8" w:tentative="0">
      <w:start w:val="1"/>
      <w:numFmt w:val="lowerRoman"/>
      <w:lvlText w:val="%9."/>
      <w:lvlJc w:val="right"/>
      <w:pPr>
        <w:ind w:left="4558" w:hanging="420"/>
      </w:pPr>
    </w:lvl>
  </w:abstractNum>
  <w:num w:numId="1">
    <w:abstractNumId w:val="0"/>
    <w:lvlOverride w:ilvl="0">
      <w:startOverride w:val="1"/>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01B44"/>
    <w:rsid w:val="09480C4E"/>
    <w:rsid w:val="0FAFA202"/>
    <w:rsid w:val="15BB3A2A"/>
    <w:rsid w:val="15C0166B"/>
    <w:rsid w:val="2093251D"/>
    <w:rsid w:val="21C41216"/>
    <w:rsid w:val="24FD6F34"/>
    <w:rsid w:val="29253012"/>
    <w:rsid w:val="2D7935E0"/>
    <w:rsid w:val="2DDF92C7"/>
    <w:rsid w:val="30BA1E8E"/>
    <w:rsid w:val="337F3654"/>
    <w:rsid w:val="36DF50DA"/>
    <w:rsid w:val="37FF7692"/>
    <w:rsid w:val="3E7BA651"/>
    <w:rsid w:val="42F01517"/>
    <w:rsid w:val="48BB2B50"/>
    <w:rsid w:val="499140BE"/>
    <w:rsid w:val="518C71B4"/>
    <w:rsid w:val="55AF653C"/>
    <w:rsid w:val="571E25DB"/>
    <w:rsid w:val="5D7E4AB1"/>
    <w:rsid w:val="5EE00BE3"/>
    <w:rsid w:val="5F7AFA45"/>
    <w:rsid w:val="5F7F6A28"/>
    <w:rsid w:val="67FE6FD4"/>
    <w:rsid w:val="6CE3648D"/>
    <w:rsid w:val="6D320410"/>
    <w:rsid w:val="6F2B26F6"/>
    <w:rsid w:val="6FF69A3C"/>
    <w:rsid w:val="713170E6"/>
    <w:rsid w:val="777C13B5"/>
    <w:rsid w:val="77FB464C"/>
    <w:rsid w:val="79C77EE2"/>
    <w:rsid w:val="7FEF85ED"/>
    <w:rsid w:val="9EFF8F81"/>
    <w:rsid w:val="9FFB4CC5"/>
    <w:rsid w:val="AEF79943"/>
    <w:rsid w:val="B7D65C9E"/>
    <w:rsid w:val="BC7F031B"/>
    <w:rsid w:val="E17F0F4A"/>
    <w:rsid w:val="E3F84B6F"/>
    <w:rsid w:val="EABDE2AB"/>
    <w:rsid w:val="EEDFB268"/>
    <w:rsid w:val="EF8B1206"/>
    <w:rsid w:val="F25FB133"/>
    <w:rsid w:val="F333310F"/>
    <w:rsid w:val="F7DF2F1C"/>
    <w:rsid w:val="FAFFB75F"/>
    <w:rsid w:val="FB3F1830"/>
    <w:rsid w:val="FE7FC794"/>
    <w:rsid w:val="FFC9FB5F"/>
    <w:rsid w:val="FFFF05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wordWrap w:val="0"/>
      <w:jc w:val="left"/>
      <w:outlineLvl w:val="0"/>
    </w:pPr>
    <w:rPr>
      <w:rFonts w:ascii="宋体" w:hAnsi="宋体" w:eastAsia="宋体" w:cs="宋体"/>
      <w:b/>
      <w:kern w:val="44"/>
      <w:szCs w:val="21"/>
    </w:rPr>
  </w:style>
  <w:style w:type="paragraph" w:styleId="5">
    <w:name w:val="heading 3"/>
    <w:basedOn w:val="4"/>
    <w:next w:val="1"/>
    <w:unhideWhenUsed/>
    <w:qFormat/>
    <w:uiPriority w:val="9"/>
    <w:pPr>
      <w:widowControl w:val="0"/>
      <w:numPr>
        <w:ilvl w:val="1"/>
        <w:numId w:val="1"/>
      </w:numPr>
      <w:spacing w:before="0" w:after="0" w:line="600" w:lineRule="exact"/>
      <w:jc w:val="both"/>
      <w:outlineLvl w:val="2"/>
    </w:pPr>
    <w:rPr>
      <w:rFonts w:ascii="仿宋" w:hAnsi="仿宋" w:eastAsia="仿宋" w:cs="Times New Roman"/>
      <w:bCs/>
      <w:color w:val="000000"/>
      <w:kern w:val="44"/>
      <w:sz w:val="32"/>
      <w:szCs w:val="32"/>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Title"/>
    <w:basedOn w:val="1"/>
    <w:next w:val="1"/>
    <w:qFormat/>
    <w:uiPriority w:val="10"/>
    <w:pPr>
      <w:spacing w:before="240" w:after="60"/>
      <w:jc w:val="center"/>
      <w:outlineLvl w:val="0"/>
    </w:pPr>
    <w:rPr>
      <w:rFonts w:ascii="Cambria" w:hAnsi="Cambria"/>
      <w:b/>
      <w:bCs/>
      <w:sz w:val="32"/>
      <w:szCs w:val="3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ordWrap w:val="0"/>
      <w:jc w:val="left"/>
    </w:pPr>
    <w:rPr>
      <w:rFonts w:ascii="Calibri" w:hAnsi="Calibri" w:eastAsia="宋体" w:cs="Times New Roman"/>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2023-05-20T09:03:00Z</dcterms:created>
  <dc:creator>chenxh</dc:creator>
  <cp:lastModifiedBy>陆飞</cp:lastModifiedBy>
  <cp:lastPrinted>2023-06-18T00:25:00Z</cp:lastPrinted>
  <dcterms:modified xsi:type="dcterms:W3CDTF">2023-06-25T01:30:41Z</dcterms:modified>
  <dc:title>深圳市司法局关于反馈《深圳前海深港现代服务业合作区香港工程建设领域专业人士执业备案管理办法（修订送审稿）》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AA35ED0AB818476A81A493CA0D2D65C1</vt:lpwstr>
  </property>
</Properties>
</file>